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6A83" w:rsidRPr="00AC6B5F" w:rsidRDefault="00B86A83" w:rsidP="00094346">
      <w:pPr>
        <w:spacing w:line="240" w:lineRule="auto"/>
        <w:ind w:left="5245"/>
        <w:rPr>
          <w:szCs w:val="24"/>
        </w:rPr>
      </w:pPr>
      <w:r w:rsidRPr="00AC6B5F">
        <w:rPr>
          <w:szCs w:val="24"/>
        </w:rPr>
        <w:t xml:space="preserve">Приложение </w:t>
      </w:r>
    </w:p>
    <w:p w:rsidR="00B86A83" w:rsidRPr="00AC6B5F" w:rsidRDefault="00B86A83" w:rsidP="00094346">
      <w:pPr>
        <w:spacing w:line="240" w:lineRule="auto"/>
        <w:ind w:left="5245"/>
        <w:rPr>
          <w:szCs w:val="24"/>
        </w:rPr>
      </w:pPr>
      <w:r w:rsidRPr="00AC6B5F">
        <w:rPr>
          <w:szCs w:val="24"/>
        </w:rPr>
        <w:t>к решению Собрания депутатов Копейского городского округа Челябинской области</w:t>
      </w:r>
    </w:p>
    <w:p w:rsidR="00B86A83" w:rsidRPr="00AC6B5F" w:rsidRDefault="00B86A83" w:rsidP="00094346">
      <w:pPr>
        <w:spacing w:line="240" w:lineRule="auto"/>
        <w:ind w:left="5245"/>
        <w:rPr>
          <w:szCs w:val="24"/>
        </w:rPr>
      </w:pPr>
      <w:r>
        <w:rPr>
          <w:szCs w:val="24"/>
        </w:rPr>
        <w:t>от 28.06.2023 № 803</w:t>
      </w:r>
    </w:p>
    <w:p w:rsidR="00B86A83" w:rsidRPr="00AC6B5F" w:rsidRDefault="00B86A83" w:rsidP="00094346">
      <w:pPr>
        <w:spacing w:line="240" w:lineRule="auto"/>
        <w:jc w:val="center"/>
        <w:rPr>
          <w:szCs w:val="24"/>
        </w:rPr>
      </w:pPr>
    </w:p>
    <w:p w:rsidR="00B86A83" w:rsidRPr="00AC6B5F" w:rsidRDefault="00B86A83" w:rsidP="00094346">
      <w:pPr>
        <w:spacing w:line="240" w:lineRule="auto"/>
        <w:ind w:firstLine="567"/>
        <w:jc w:val="center"/>
        <w:rPr>
          <w:szCs w:val="24"/>
        </w:rPr>
      </w:pPr>
    </w:p>
    <w:p w:rsidR="00B86A83" w:rsidRPr="00AC6B5F" w:rsidRDefault="00B86A83" w:rsidP="00094346">
      <w:pPr>
        <w:spacing w:line="240" w:lineRule="auto"/>
        <w:ind w:firstLine="567"/>
        <w:jc w:val="center"/>
        <w:rPr>
          <w:szCs w:val="24"/>
        </w:rPr>
      </w:pPr>
    </w:p>
    <w:p w:rsidR="00B86A83" w:rsidRPr="00AC6B5F" w:rsidRDefault="00B86A83" w:rsidP="006E5651">
      <w:pPr>
        <w:spacing w:line="240" w:lineRule="auto"/>
        <w:jc w:val="center"/>
        <w:rPr>
          <w:szCs w:val="24"/>
        </w:rPr>
      </w:pPr>
      <w:r w:rsidRPr="00AC6B5F">
        <w:rPr>
          <w:szCs w:val="24"/>
        </w:rPr>
        <w:t xml:space="preserve">Информация о реализации в 2022 году </w:t>
      </w:r>
    </w:p>
    <w:p w:rsidR="00B86A83" w:rsidRPr="00AC6B5F" w:rsidRDefault="00B86A83" w:rsidP="006E5651">
      <w:pPr>
        <w:spacing w:line="240" w:lineRule="auto"/>
        <w:jc w:val="center"/>
        <w:rPr>
          <w:szCs w:val="24"/>
        </w:rPr>
      </w:pPr>
      <w:r w:rsidRPr="00AC6B5F">
        <w:rPr>
          <w:szCs w:val="24"/>
        </w:rPr>
        <w:t xml:space="preserve">Стратегии социально-экономического развития  </w:t>
      </w:r>
    </w:p>
    <w:p w:rsidR="00B86A83" w:rsidRPr="00AC6B5F" w:rsidRDefault="00B86A83" w:rsidP="006E5651">
      <w:pPr>
        <w:spacing w:line="240" w:lineRule="auto"/>
        <w:jc w:val="center"/>
        <w:rPr>
          <w:szCs w:val="24"/>
        </w:rPr>
      </w:pPr>
      <w:r w:rsidRPr="00AC6B5F">
        <w:rPr>
          <w:szCs w:val="24"/>
        </w:rPr>
        <w:t>Копейского городского округа Челябинской области до 2035 года</w:t>
      </w:r>
    </w:p>
    <w:p w:rsidR="00B86A83" w:rsidRPr="00AC6B5F" w:rsidRDefault="00B86A83" w:rsidP="00094346">
      <w:pPr>
        <w:spacing w:line="240" w:lineRule="auto"/>
        <w:ind w:firstLine="567"/>
        <w:jc w:val="both"/>
        <w:rPr>
          <w:szCs w:val="24"/>
        </w:rPr>
      </w:pPr>
    </w:p>
    <w:p w:rsidR="00B86A83" w:rsidRPr="00AC6B5F" w:rsidRDefault="00B86A83" w:rsidP="00094346">
      <w:pPr>
        <w:spacing w:line="240" w:lineRule="auto"/>
        <w:ind w:firstLine="567"/>
        <w:jc w:val="both"/>
        <w:rPr>
          <w:szCs w:val="24"/>
        </w:rPr>
      </w:pPr>
    </w:p>
    <w:p w:rsidR="00B86A83" w:rsidRPr="00AC6B5F" w:rsidRDefault="00B86A83" w:rsidP="00AE0EEC">
      <w:pPr>
        <w:spacing w:line="240" w:lineRule="auto"/>
        <w:ind w:firstLine="567"/>
        <w:jc w:val="both"/>
        <w:rPr>
          <w:szCs w:val="24"/>
        </w:rPr>
      </w:pPr>
    </w:p>
    <w:p w:rsidR="00B86A83" w:rsidRPr="00AC6B5F" w:rsidRDefault="00B86A83" w:rsidP="00AE0EEC">
      <w:pPr>
        <w:spacing w:line="240" w:lineRule="auto"/>
        <w:ind w:firstLine="567"/>
        <w:jc w:val="both"/>
        <w:rPr>
          <w:szCs w:val="24"/>
        </w:rPr>
      </w:pPr>
      <w:r w:rsidRPr="00AC6B5F">
        <w:rPr>
          <w:szCs w:val="24"/>
        </w:rPr>
        <w:t xml:space="preserve">Стратегия социально-экономического развития Копейского городского округа до 2035 года принята в новой редакции решением Собрания депутатов городского округа  от 30.11.2022 № 647-МО (далее – Стратегия)  в целях определения ориентиров и направлений дальнейшего развития города. </w:t>
      </w:r>
    </w:p>
    <w:p w:rsidR="00B86A83" w:rsidRPr="00AC6B5F" w:rsidRDefault="00B86A83" w:rsidP="00AE0EEC">
      <w:pPr>
        <w:spacing w:line="240" w:lineRule="auto"/>
        <w:ind w:firstLine="567"/>
        <w:jc w:val="both"/>
        <w:rPr>
          <w:szCs w:val="24"/>
        </w:rPr>
      </w:pPr>
      <w:r w:rsidRPr="00AC6B5F">
        <w:rPr>
          <w:szCs w:val="24"/>
        </w:rPr>
        <w:t>В Стратегии определены основные цели, задачи и параметры социально-экономического развития городского округа до 2035 года.</w:t>
      </w:r>
    </w:p>
    <w:p w:rsidR="00B86A83" w:rsidRPr="00AC6B5F" w:rsidRDefault="00B86A83" w:rsidP="00AE0EEC">
      <w:pPr>
        <w:spacing w:line="240" w:lineRule="auto"/>
        <w:ind w:firstLine="567"/>
        <w:jc w:val="both"/>
        <w:rPr>
          <w:szCs w:val="24"/>
        </w:rPr>
      </w:pPr>
      <w:r w:rsidRPr="00AC6B5F">
        <w:rPr>
          <w:szCs w:val="24"/>
        </w:rPr>
        <w:t>Администрацией городского округа</w:t>
      </w:r>
      <w:r w:rsidRPr="00AC6B5F">
        <w:rPr>
          <w:rStyle w:val="FootnoteReference"/>
          <w:szCs w:val="24"/>
        </w:rPr>
        <w:footnoteReference w:id="1"/>
      </w:r>
      <w:r w:rsidRPr="00AC6B5F">
        <w:rPr>
          <w:szCs w:val="24"/>
        </w:rPr>
        <w:t xml:space="preserve"> утверждён План мероприятий по реализации стратегии Копейского городского округа до 2035 года, отчет об исполнении которого размещен на официальном сайте администрации городского округа (</w:t>
      </w:r>
      <w:hyperlink r:id="rId7" w:history="1">
        <w:r w:rsidRPr="00AC6B5F">
          <w:rPr>
            <w:rStyle w:val="Hyperlink"/>
            <w:szCs w:val="24"/>
            <w:lang w:val="en-US"/>
          </w:rPr>
          <w:t>www</w:t>
        </w:r>
        <w:r w:rsidRPr="00AC6B5F">
          <w:rPr>
            <w:rStyle w:val="Hyperlink"/>
            <w:szCs w:val="24"/>
          </w:rPr>
          <w:t>.</w:t>
        </w:r>
        <w:r w:rsidRPr="00AC6B5F">
          <w:rPr>
            <w:rStyle w:val="Hyperlink"/>
            <w:szCs w:val="24"/>
            <w:lang w:val="en-US"/>
          </w:rPr>
          <w:t>akgo</w:t>
        </w:r>
        <w:r w:rsidRPr="00AC6B5F">
          <w:rPr>
            <w:rStyle w:val="Hyperlink"/>
            <w:szCs w:val="24"/>
          </w:rPr>
          <w:t>74.</w:t>
        </w:r>
        <w:r w:rsidRPr="00AC6B5F">
          <w:rPr>
            <w:rStyle w:val="Hyperlink"/>
            <w:szCs w:val="24"/>
            <w:lang w:val="en-US"/>
          </w:rPr>
          <w:t>ru</w:t>
        </w:r>
      </w:hyperlink>
      <w:r w:rsidRPr="00AC6B5F">
        <w:rPr>
          <w:szCs w:val="24"/>
        </w:rPr>
        <w:t xml:space="preserve"> /  Администрация / Стратегическое планирование / Стратегия 2035. </w:t>
      </w:r>
    </w:p>
    <w:p w:rsidR="00B86A83" w:rsidRPr="00AC6B5F" w:rsidRDefault="00B86A83" w:rsidP="00AE0EEC">
      <w:pPr>
        <w:spacing w:line="240" w:lineRule="auto"/>
        <w:ind w:firstLine="567"/>
        <w:jc w:val="both"/>
        <w:rPr>
          <w:szCs w:val="24"/>
        </w:rPr>
      </w:pPr>
      <w:r w:rsidRPr="00AC6B5F">
        <w:rPr>
          <w:szCs w:val="24"/>
        </w:rPr>
        <w:t>В целях реализации Стратегии в 2022 году исполнялись 36 государственных, муниципальных и ведомственных целевых программ  на общую сумму 7 млрд. 691 млн. рублей (93% от общего бюджета расходов городского округа). Отчеты об исполнении муниципальных  программ и сводный годовой отчет  также размещены на официальном сайте администрации городского округа.</w:t>
      </w:r>
    </w:p>
    <w:p w:rsidR="00B86A83" w:rsidRDefault="00B86A83" w:rsidP="0029304B">
      <w:pPr>
        <w:spacing w:line="240" w:lineRule="auto"/>
        <w:ind w:firstLine="567"/>
        <w:jc w:val="both"/>
        <w:rPr>
          <w:szCs w:val="24"/>
        </w:rPr>
      </w:pPr>
      <w:r w:rsidRPr="00EC70C8">
        <w:rPr>
          <w:szCs w:val="24"/>
        </w:rPr>
        <w:t>Все мероприятия, озвученные Главой городского округа  в своем  отчете  перед Собранием депутатов городского округа в марте 2023 года  проводились в рамках муниципальных программ и Стратегии городского округа.</w:t>
      </w:r>
    </w:p>
    <w:p w:rsidR="00B86A83" w:rsidRPr="00AC6B5F" w:rsidRDefault="00B86A83" w:rsidP="0029304B">
      <w:pPr>
        <w:spacing w:line="240" w:lineRule="auto"/>
        <w:ind w:firstLine="567"/>
        <w:jc w:val="both"/>
        <w:rPr>
          <w:szCs w:val="24"/>
        </w:rPr>
      </w:pPr>
      <w:r w:rsidRPr="00AC6B5F">
        <w:rPr>
          <w:szCs w:val="24"/>
        </w:rPr>
        <w:t>Сводный  коэффициент эффективности реализации муниципальных программ по городскому округу -  0,95 (высокая эффективность).</w:t>
      </w:r>
    </w:p>
    <w:p w:rsidR="00B86A83" w:rsidRDefault="00B86A83" w:rsidP="0029304B">
      <w:pPr>
        <w:spacing w:line="240" w:lineRule="auto"/>
        <w:ind w:firstLine="567"/>
        <w:jc w:val="both"/>
        <w:rPr>
          <w:szCs w:val="24"/>
        </w:rPr>
      </w:pPr>
      <w:r w:rsidRPr="00AC6B5F">
        <w:rPr>
          <w:szCs w:val="24"/>
        </w:rPr>
        <w:t>Стратегией определены основные индикативные показатели,  исполнение которых представлено в таблицах 1 и 2.</w:t>
      </w:r>
    </w:p>
    <w:p w:rsidR="00B86A83" w:rsidRPr="00AC6B5F" w:rsidRDefault="00B86A83" w:rsidP="0029304B">
      <w:pPr>
        <w:spacing w:line="240" w:lineRule="auto"/>
        <w:ind w:firstLine="567"/>
        <w:jc w:val="both"/>
        <w:rPr>
          <w:szCs w:val="24"/>
        </w:rPr>
      </w:pPr>
    </w:p>
    <w:p w:rsidR="00B86A83" w:rsidRPr="00AC6B5F" w:rsidRDefault="00B86A83" w:rsidP="006D0D33">
      <w:pPr>
        <w:spacing w:line="240" w:lineRule="auto"/>
        <w:rPr>
          <w:szCs w:val="24"/>
        </w:rPr>
      </w:pPr>
      <w:r>
        <w:rPr>
          <w:szCs w:val="24"/>
        </w:rPr>
        <w:br w:type="page"/>
      </w:r>
      <w:r w:rsidRPr="00AC6B5F">
        <w:rPr>
          <w:szCs w:val="24"/>
        </w:rPr>
        <w:t>Таблица 1.</w:t>
      </w:r>
      <w:r>
        <w:rPr>
          <w:szCs w:val="24"/>
        </w:rPr>
        <w:t xml:space="preserve"> </w:t>
      </w:r>
    </w:p>
    <w:p w:rsidR="00B86A83" w:rsidRDefault="00B86A83" w:rsidP="006D0D33">
      <w:pPr>
        <w:spacing w:line="240" w:lineRule="auto"/>
        <w:rPr>
          <w:szCs w:val="24"/>
        </w:rPr>
      </w:pPr>
      <w:r w:rsidRPr="00AC6B5F">
        <w:rPr>
          <w:szCs w:val="24"/>
        </w:rPr>
        <w:t>Основные показатели социально-экономического развития Копейского городского округа</w:t>
      </w:r>
    </w:p>
    <w:p w:rsidR="00B86A83" w:rsidRPr="00AC6B5F" w:rsidRDefault="00B86A83" w:rsidP="006D0D33">
      <w:pPr>
        <w:spacing w:line="240" w:lineRule="auto"/>
        <w:rPr>
          <w:szCs w:val="24"/>
        </w:rPr>
      </w:pPr>
    </w:p>
    <w:tbl>
      <w:tblPr>
        <w:tblW w:w="9654" w:type="dxa"/>
        <w:tblInd w:w="93" w:type="dxa"/>
        <w:tblLook w:val="00A0"/>
      </w:tblPr>
      <w:tblGrid>
        <w:gridCol w:w="3984"/>
        <w:gridCol w:w="1562"/>
        <w:gridCol w:w="1273"/>
        <w:gridCol w:w="1276"/>
        <w:gridCol w:w="1559"/>
      </w:tblGrid>
      <w:tr w:rsidR="00B86A83" w:rsidRPr="00BD4DA1" w:rsidTr="00BD4DA1">
        <w:trPr>
          <w:trHeight w:val="375"/>
          <w:tblHeader/>
        </w:trPr>
        <w:tc>
          <w:tcPr>
            <w:tcW w:w="3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Показатели</w:t>
            </w:r>
          </w:p>
        </w:tc>
        <w:tc>
          <w:tcPr>
            <w:tcW w:w="1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Ед. изм.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2022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Уровень выполнения</w:t>
            </w:r>
          </w:p>
        </w:tc>
      </w:tr>
      <w:tr w:rsidR="00B86A83" w:rsidRPr="00BD4DA1" w:rsidTr="00BD4DA1">
        <w:trPr>
          <w:trHeight w:val="375"/>
          <w:tblHeader/>
        </w:trPr>
        <w:tc>
          <w:tcPr>
            <w:tcW w:w="3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 w:val="22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 w:val="22"/>
                <w:lang w:eastAsia="ru-RU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план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факт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 w:val="22"/>
                <w:lang w:eastAsia="ru-RU"/>
              </w:rPr>
            </w:pPr>
          </w:p>
        </w:tc>
      </w:tr>
      <w:tr w:rsidR="00B86A83" w:rsidRPr="00BD4DA1" w:rsidTr="00C40FAC">
        <w:trPr>
          <w:trHeight w:val="221"/>
        </w:trPr>
        <w:tc>
          <w:tcPr>
            <w:tcW w:w="398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Среднегодовая численность постоянного населения, тыс. человек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тыс. чел.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 xml:space="preserve">146,5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 xml:space="preserve">149,0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101,7%</w:t>
            </w:r>
          </w:p>
        </w:tc>
      </w:tr>
      <w:tr w:rsidR="00B86A83" w:rsidRPr="00BD4DA1" w:rsidTr="00C40FAC">
        <w:trPr>
          <w:trHeight w:val="642"/>
        </w:trPr>
        <w:tc>
          <w:tcPr>
            <w:tcW w:w="3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 w:val="22"/>
                <w:lang w:eastAsia="ru-RU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BD4DA1">
              <w:rPr>
                <w:color w:val="000000"/>
                <w:sz w:val="20"/>
                <w:szCs w:val="20"/>
                <w:lang w:eastAsia="ru-RU"/>
              </w:rPr>
              <w:t>в процентах  к предыдущему году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99,3%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100,9%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101,6%</w:t>
            </w:r>
          </w:p>
        </w:tc>
      </w:tr>
      <w:tr w:rsidR="00B86A83" w:rsidRPr="00BD4DA1" w:rsidTr="00C40FAC">
        <w:trPr>
          <w:trHeight w:val="227"/>
        </w:trPr>
        <w:tc>
          <w:tcPr>
            <w:tcW w:w="398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Объем отгруженных товаров собственного производства, выполненных работ и услуг собственными силами крупными и средними организациями по «чистым» видам экономической деятельности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млн. рублей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 xml:space="preserve">34 809,5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 xml:space="preserve">42 536,9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122,2%</w:t>
            </w:r>
          </w:p>
        </w:tc>
      </w:tr>
      <w:tr w:rsidR="00B86A83" w:rsidRPr="00BD4DA1" w:rsidTr="00BD4DA1">
        <w:trPr>
          <w:trHeight w:val="975"/>
        </w:trPr>
        <w:tc>
          <w:tcPr>
            <w:tcW w:w="3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 w:val="22"/>
                <w:lang w:eastAsia="ru-RU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BD4DA1">
              <w:rPr>
                <w:color w:val="000000"/>
                <w:sz w:val="20"/>
                <w:szCs w:val="20"/>
                <w:lang w:eastAsia="ru-RU"/>
              </w:rPr>
              <w:t>в процентах  к предыдущему году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95,6%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117,0%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122,3%</w:t>
            </w:r>
          </w:p>
        </w:tc>
      </w:tr>
      <w:tr w:rsidR="00B86A83" w:rsidRPr="00BD4DA1" w:rsidTr="00C40FAC">
        <w:trPr>
          <w:trHeight w:val="1124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Индекс производства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BD4DA1">
              <w:rPr>
                <w:color w:val="000000"/>
                <w:sz w:val="20"/>
                <w:szCs w:val="20"/>
                <w:lang w:eastAsia="ru-RU"/>
              </w:rPr>
              <w:t>в процентах  к предыдущему году в сопоставимых ценах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86,3%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109,4%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126,8%</w:t>
            </w:r>
          </w:p>
        </w:tc>
      </w:tr>
      <w:tr w:rsidR="00B86A83" w:rsidRPr="00BD4DA1" w:rsidTr="00BD4DA1">
        <w:trPr>
          <w:trHeight w:val="30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Оплата труда наемных работников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млн. рублей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 xml:space="preserve">16 557,9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86A83" w:rsidRPr="00BD4DA1" w:rsidRDefault="00B86A83" w:rsidP="00BD4DA1">
            <w:pPr>
              <w:spacing w:line="240" w:lineRule="auto"/>
              <w:jc w:val="center"/>
              <w:rPr>
                <w:sz w:val="22"/>
                <w:lang w:eastAsia="ru-RU"/>
              </w:rPr>
            </w:pPr>
            <w:r w:rsidRPr="00BD4DA1">
              <w:rPr>
                <w:sz w:val="22"/>
                <w:lang w:eastAsia="ru-RU"/>
              </w:rPr>
              <w:t xml:space="preserve">17 249,3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104,2%</w:t>
            </w:r>
          </w:p>
        </w:tc>
      </w:tr>
      <w:tr w:rsidR="00B86A83" w:rsidRPr="00BD4DA1" w:rsidTr="00BD4DA1">
        <w:trPr>
          <w:trHeight w:val="30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Фонд заработной платы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млн. рублей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 xml:space="preserve">15 242,4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86A83" w:rsidRPr="00BD4DA1" w:rsidRDefault="00B86A83" w:rsidP="00BD4DA1">
            <w:pPr>
              <w:spacing w:line="240" w:lineRule="auto"/>
              <w:jc w:val="center"/>
              <w:rPr>
                <w:sz w:val="22"/>
                <w:lang w:eastAsia="ru-RU"/>
              </w:rPr>
            </w:pPr>
            <w:r w:rsidRPr="00BD4DA1">
              <w:rPr>
                <w:sz w:val="22"/>
                <w:lang w:eastAsia="ru-RU"/>
              </w:rPr>
              <w:t xml:space="preserve">15 745,7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103,3%</w:t>
            </w:r>
          </w:p>
        </w:tc>
      </w:tr>
      <w:tr w:rsidR="00B86A83" w:rsidRPr="00BD4DA1" w:rsidTr="00BD4DA1">
        <w:trPr>
          <w:trHeight w:val="30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Средняя заработная плата в экономике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рублей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 xml:space="preserve">42 059,6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sz w:val="22"/>
                <w:lang w:eastAsia="ru-RU"/>
              </w:rPr>
            </w:pPr>
            <w:r w:rsidRPr="00BD4DA1">
              <w:rPr>
                <w:sz w:val="22"/>
                <w:lang w:eastAsia="ru-RU"/>
              </w:rPr>
              <w:t xml:space="preserve">43 738,1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104,0%</w:t>
            </w:r>
          </w:p>
        </w:tc>
      </w:tr>
      <w:tr w:rsidR="00B86A83" w:rsidRPr="00BD4DA1" w:rsidTr="00BD4DA1">
        <w:trPr>
          <w:trHeight w:val="60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Среднесписочная численность работников (без внешних совместителей)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тыс. человек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 xml:space="preserve">30,2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86A83" w:rsidRPr="00BD4DA1" w:rsidRDefault="00B86A83" w:rsidP="00BD4DA1">
            <w:pPr>
              <w:spacing w:line="240" w:lineRule="auto"/>
              <w:jc w:val="center"/>
              <w:rPr>
                <w:sz w:val="22"/>
                <w:lang w:eastAsia="ru-RU"/>
              </w:rPr>
            </w:pPr>
            <w:r w:rsidRPr="00BD4DA1">
              <w:rPr>
                <w:sz w:val="22"/>
                <w:lang w:eastAsia="ru-RU"/>
              </w:rPr>
              <w:t xml:space="preserve">30,0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99,3%</w:t>
            </w:r>
          </w:p>
        </w:tc>
      </w:tr>
      <w:tr w:rsidR="00B86A83" w:rsidRPr="00BD4DA1" w:rsidTr="00C40FAC">
        <w:trPr>
          <w:trHeight w:val="101"/>
        </w:trPr>
        <w:tc>
          <w:tcPr>
            <w:tcW w:w="398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Объем продукции сельского хозяйства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млн. рублей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 xml:space="preserve">5 276,7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 xml:space="preserve">5 948,5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112,7%</w:t>
            </w:r>
          </w:p>
        </w:tc>
      </w:tr>
      <w:tr w:rsidR="00B86A83" w:rsidRPr="00BD4DA1" w:rsidTr="00BD4DA1">
        <w:trPr>
          <w:trHeight w:val="960"/>
        </w:trPr>
        <w:tc>
          <w:tcPr>
            <w:tcW w:w="3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 w:val="22"/>
                <w:lang w:eastAsia="ru-RU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BD4DA1">
              <w:rPr>
                <w:color w:val="000000"/>
                <w:sz w:val="20"/>
                <w:szCs w:val="20"/>
                <w:lang w:eastAsia="ru-RU"/>
              </w:rPr>
              <w:t>в процентах к предыдущему году в сопоставимых ценах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96,6%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104,0%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107,7%</w:t>
            </w:r>
          </w:p>
        </w:tc>
      </w:tr>
      <w:tr w:rsidR="00B86A83" w:rsidRPr="00BD4DA1" w:rsidTr="00BD4DA1">
        <w:trPr>
          <w:trHeight w:val="300"/>
        </w:trPr>
        <w:tc>
          <w:tcPr>
            <w:tcW w:w="398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 xml:space="preserve">Объем инвестиций в основной капитал за счет всех источников финансирования по крупным и средним организациям, 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млн. рублей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 xml:space="preserve">2 773,9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 xml:space="preserve">2 995,2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108,0%</w:t>
            </w:r>
          </w:p>
        </w:tc>
      </w:tr>
      <w:tr w:rsidR="00B86A83" w:rsidRPr="00BD4DA1" w:rsidTr="00C40FAC">
        <w:trPr>
          <w:trHeight w:val="509"/>
        </w:trPr>
        <w:tc>
          <w:tcPr>
            <w:tcW w:w="3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 w:val="22"/>
                <w:lang w:eastAsia="ru-RU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BD4DA1">
              <w:rPr>
                <w:color w:val="000000"/>
                <w:sz w:val="20"/>
                <w:szCs w:val="20"/>
                <w:lang w:eastAsia="ru-RU"/>
              </w:rPr>
              <w:t>в процентах  к предыдущему году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94,0%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100,5%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106,9%</w:t>
            </w:r>
          </w:p>
        </w:tc>
      </w:tr>
      <w:tr w:rsidR="00B86A83" w:rsidRPr="00BD4DA1" w:rsidTr="00C40FAC">
        <w:trPr>
          <w:trHeight w:val="1003"/>
        </w:trPr>
        <w:tc>
          <w:tcPr>
            <w:tcW w:w="3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 w:val="22"/>
                <w:lang w:eastAsia="ru-RU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BD4DA1">
              <w:rPr>
                <w:color w:val="000000"/>
                <w:sz w:val="20"/>
                <w:szCs w:val="20"/>
                <w:lang w:eastAsia="ru-RU"/>
              </w:rPr>
              <w:t>в процентах к предыдущему году в сопоставимых ценах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84,4%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87,7%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103,9%</w:t>
            </w:r>
          </w:p>
        </w:tc>
      </w:tr>
      <w:tr w:rsidR="00B86A83" w:rsidRPr="00BD4DA1" w:rsidTr="00BD4DA1">
        <w:trPr>
          <w:trHeight w:val="120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Среднегодовая стоимость имущества, облагаемого налогом на имущество организаций в соответствии с пунктом 1 статьи 375 Налогового кодекса Российской Федерации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млн. рублей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 xml:space="preserve">7 772,9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 xml:space="preserve">7 885,6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101,4%</w:t>
            </w:r>
          </w:p>
        </w:tc>
      </w:tr>
    </w:tbl>
    <w:p w:rsidR="00B86A83" w:rsidRPr="00AC6B5F" w:rsidRDefault="00B86A83" w:rsidP="006D0D33">
      <w:pPr>
        <w:spacing w:line="240" w:lineRule="auto"/>
        <w:jc w:val="center"/>
        <w:rPr>
          <w:szCs w:val="24"/>
        </w:rPr>
      </w:pPr>
    </w:p>
    <w:p w:rsidR="00B86A83" w:rsidRPr="00AC6B5F" w:rsidRDefault="00B86A83" w:rsidP="006D0D33">
      <w:pPr>
        <w:spacing w:line="240" w:lineRule="auto"/>
        <w:jc w:val="center"/>
        <w:rPr>
          <w:szCs w:val="24"/>
        </w:rPr>
      </w:pPr>
    </w:p>
    <w:p w:rsidR="00B86A83" w:rsidRPr="00AC6B5F" w:rsidRDefault="00B86A83" w:rsidP="00AC6B5F">
      <w:pPr>
        <w:spacing w:line="240" w:lineRule="auto"/>
        <w:rPr>
          <w:szCs w:val="24"/>
        </w:rPr>
      </w:pPr>
      <w:r>
        <w:rPr>
          <w:szCs w:val="24"/>
        </w:rPr>
        <w:br w:type="page"/>
      </w:r>
      <w:r w:rsidRPr="00AC6B5F">
        <w:rPr>
          <w:szCs w:val="24"/>
        </w:rPr>
        <w:t>Таблица 2. Основные показатели конечного результата, установленные на конец каждого года реализации Стратегии</w:t>
      </w:r>
    </w:p>
    <w:p w:rsidR="00B86A83" w:rsidRPr="00AC6B5F" w:rsidRDefault="00B86A83" w:rsidP="00AC6B5F">
      <w:pPr>
        <w:spacing w:line="240" w:lineRule="auto"/>
        <w:jc w:val="center"/>
        <w:rPr>
          <w:szCs w:val="24"/>
        </w:rPr>
      </w:pPr>
    </w:p>
    <w:tbl>
      <w:tblPr>
        <w:tblW w:w="9654" w:type="dxa"/>
        <w:tblInd w:w="93" w:type="dxa"/>
        <w:tblLayout w:type="fixed"/>
        <w:tblLook w:val="00A0"/>
      </w:tblPr>
      <w:tblGrid>
        <w:gridCol w:w="3984"/>
        <w:gridCol w:w="1560"/>
        <w:gridCol w:w="1275"/>
        <w:gridCol w:w="1276"/>
        <w:gridCol w:w="1559"/>
      </w:tblGrid>
      <w:tr w:rsidR="00B86A83" w:rsidRPr="00BD4DA1" w:rsidTr="00BD4DA1">
        <w:trPr>
          <w:trHeight w:val="450"/>
          <w:tblHeader/>
        </w:trPr>
        <w:tc>
          <w:tcPr>
            <w:tcW w:w="3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Наименование показателя / Годы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Единица измерения показателя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2022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Уровень исполнения</w:t>
            </w:r>
          </w:p>
        </w:tc>
      </w:tr>
      <w:tr w:rsidR="00B86A83" w:rsidRPr="00BD4DA1" w:rsidTr="00BD4DA1">
        <w:trPr>
          <w:trHeight w:val="315"/>
          <w:tblHeader/>
        </w:trPr>
        <w:tc>
          <w:tcPr>
            <w:tcW w:w="3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план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факт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 w:val="22"/>
                <w:lang w:eastAsia="ru-RU"/>
              </w:rPr>
            </w:pPr>
          </w:p>
        </w:tc>
      </w:tr>
      <w:tr w:rsidR="00B86A83" w:rsidRPr="00BD4DA1" w:rsidTr="00BD4DA1">
        <w:trPr>
          <w:trHeight w:val="735"/>
        </w:trPr>
        <w:tc>
          <w:tcPr>
            <w:tcW w:w="96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Направление 1. Развитие экономики Копейского городского округа. Повышение инвестиционной привлекательности города.   Формирование цифровой инфраструктуры экономики</w:t>
            </w:r>
          </w:p>
        </w:tc>
      </w:tr>
      <w:tr w:rsidR="00B86A83" w:rsidRPr="00BD4DA1" w:rsidTr="00BD4DA1">
        <w:trPr>
          <w:trHeight w:val="63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Количество субъектов малого и среднего предпринимательства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ед. на 1000 населения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 xml:space="preserve">269,3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 xml:space="preserve">273,4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101,5%</w:t>
            </w:r>
          </w:p>
        </w:tc>
      </w:tr>
      <w:tr w:rsidR="00B86A83" w:rsidRPr="00BD4DA1" w:rsidTr="00BD4DA1">
        <w:trPr>
          <w:trHeight w:val="31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Средняя заработная плата по городскому округу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рубли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 xml:space="preserve">42 059,6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 xml:space="preserve">43 738,1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104,0%</w:t>
            </w:r>
          </w:p>
        </w:tc>
      </w:tr>
      <w:tr w:rsidR="00B86A83" w:rsidRPr="00BD4DA1" w:rsidTr="00C40FAC">
        <w:trPr>
          <w:trHeight w:val="884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Реальный рост заработной платы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BD4DA1">
              <w:rPr>
                <w:color w:val="000000"/>
                <w:sz w:val="20"/>
                <w:szCs w:val="20"/>
                <w:lang w:eastAsia="ru-RU"/>
              </w:rPr>
              <w:t>процент к пред. году в сопоставимых ценах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96,8%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>
              <w:rPr>
                <w:color w:val="000000"/>
                <w:szCs w:val="24"/>
                <w:lang w:eastAsia="ru-RU"/>
              </w:rPr>
              <w:t>105,4</w:t>
            </w:r>
            <w:r w:rsidRPr="00BD4DA1">
              <w:rPr>
                <w:color w:val="000000"/>
                <w:szCs w:val="24"/>
                <w:lang w:eastAsia="ru-RU"/>
              </w:rPr>
              <w:t>%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3D782E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>
              <w:rPr>
                <w:color w:val="000000"/>
                <w:sz w:val="22"/>
                <w:lang w:eastAsia="ru-RU"/>
              </w:rPr>
              <w:t>108,9</w:t>
            </w:r>
            <w:r w:rsidRPr="00BD4DA1">
              <w:rPr>
                <w:color w:val="000000"/>
                <w:sz w:val="22"/>
                <w:lang w:eastAsia="ru-RU"/>
              </w:rPr>
              <w:t>%</w:t>
            </w:r>
          </w:p>
        </w:tc>
      </w:tr>
      <w:tr w:rsidR="00B86A83" w:rsidRPr="00BD4DA1" w:rsidTr="00BD4DA1">
        <w:trPr>
          <w:trHeight w:val="31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Уровень зарегистрированной безработицы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процент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0,8%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0,54%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148,1%</w:t>
            </w:r>
          </w:p>
        </w:tc>
      </w:tr>
      <w:tr w:rsidR="00B86A83" w:rsidRPr="00BD4DA1" w:rsidTr="00F5282A">
        <w:trPr>
          <w:trHeight w:val="327"/>
        </w:trPr>
        <w:tc>
          <w:tcPr>
            <w:tcW w:w="96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Направление 2. Жилищно-коммунальное хозяйство</w:t>
            </w:r>
          </w:p>
        </w:tc>
      </w:tr>
      <w:tr w:rsidR="00B86A83" w:rsidRPr="00BD4DA1" w:rsidTr="00BD4DA1">
        <w:trPr>
          <w:trHeight w:val="63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Уровень удовлетворённости населения  качеством  предоставления жилищно-коммунальных услуг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процент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34,0%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35,1%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103,2%</w:t>
            </w:r>
          </w:p>
        </w:tc>
      </w:tr>
      <w:tr w:rsidR="00B86A83" w:rsidRPr="00BD4DA1" w:rsidTr="00BD4DA1">
        <w:trPr>
          <w:trHeight w:val="94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Удельный вес населения с доступом к водоснабжению и централизованному водоотведению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процент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87,3%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87,3%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100,0%</w:t>
            </w:r>
          </w:p>
        </w:tc>
      </w:tr>
      <w:tr w:rsidR="00B86A83" w:rsidRPr="00BD4DA1" w:rsidTr="00BD4DA1">
        <w:trPr>
          <w:trHeight w:val="31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Уровень газификации городского округа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процент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98,7%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98,7%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100,0%</w:t>
            </w:r>
          </w:p>
        </w:tc>
      </w:tr>
      <w:tr w:rsidR="00B86A83" w:rsidRPr="00BD4DA1" w:rsidTr="00BD4DA1">
        <w:trPr>
          <w:trHeight w:val="94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Доля многоквартирных домов, собственники помещений в которых реализовали свое право по выбору способа управления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процент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96,7%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96,7%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100,0%</w:t>
            </w:r>
          </w:p>
        </w:tc>
      </w:tr>
      <w:tr w:rsidR="00B86A83" w:rsidRPr="00BD4DA1" w:rsidTr="00F5282A">
        <w:trPr>
          <w:trHeight w:val="372"/>
        </w:trPr>
        <w:tc>
          <w:tcPr>
            <w:tcW w:w="96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Направление 3. Градорегулирование, организация городского пространства</w:t>
            </w:r>
          </w:p>
        </w:tc>
      </w:tr>
      <w:tr w:rsidR="00B86A83" w:rsidRPr="00BD4DA1" w:rsidTr="00BD4DA1">
        <w:trPr>
          <w:trHeight w:val="63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тыс. кв. м.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76,23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127,1%</w:t>
            </w:r>
          </w:p>
        </w:tc>
      </w:tr>
      <w:tr w:rsidR="00B86A83" w:rsidRPr="00BD4DA1" w:rsidTr="00BD4DA1">
        <w:trPr>
          <w:trHeight w:val="31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Средняя обеспеченность населения жильем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кв. м. на чел.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26,07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25,54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98,0%</w:t>
            </w:r>
          </w:p>
        </w:tc>
      </w:tr>
      <w:tr w:rsidR="00B86A83" w:rsidRPr="00BD4DA1" w:rsidTr="00BD4DA1">
        <w:trPr>
          <w:trHeight w:val="94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 xml:space="preserve">Срок ликвидации аварийного и непригодного для проживания жилищного фонда от даты признания его таковым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лет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128,6%</w:t>
            </w:r>
          </w:p>
        </w:tc>
      </w:tr>
      <w:tr w:rsidR="00B86A83" w:rsidRPr="00BD4DA1" w:rsidTr="00BD4DA1">
        <w:trPr>
          <w:trHeight w:val="31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Индекс качества городской среды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балл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185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180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97,3%</w:t>
            </w:r>
          </w:p>
        </w:tc>
      </w:tr>
      <w:tr w:rsidR="00B86A83" w:rsidRPr="00BD4DA1" w:rsidTr="00BD4DA1">
        <w:trPr>
          <w:trHeight w:val="63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Уровень удовлетворенности населения благоустройством городского округа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процент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28,8%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26,9%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93,4%</w:t>
            </w:r>
          </w:p>
        </w:tc>
      </w:tr>
      <w:tr w:rsidR="00B86A83" w:rsidRPr="00BD4DA1" w:rsidTr="00BD4DA1">
        <w:trPr>
          <w:trHeight w:val="94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Удовлетворенность населения состоянием внутридворовых территорий (дорог, проездов, тротуаров)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процент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27,0%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24,5%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90,7%</w:t>
            </w:r>
          </w:p>
        </w:tc>
      </w:tr>
      <w:tr w:rsidR="00B86A83" w:rsidRPr="00BD4DA1" w:rsidTr="00BD4DA1">
        <w:trPr>
          <w:trHeight w:val="126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Доля жителей города в возрасте старше 14 лет, принявших участие с использованием цифровых технологий в принятии решений по вопросам городского развития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процент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20,0%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21,4%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107,0%</w:t>
            </w:r>
          </w:p>
        </w:tc>
      </w:tr>
      <w:tr w:rsidR="00B86A83" w:rsidRPr="00BD4DA1" w:rsidTr="00057DCC">
        <w:trPr>
          <w:trHeight w:val="315"/>
        </w:trPr>
        <w:tc>
          <w:tcPr>
            <w:tcW w:w="96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F5282A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Направление 4. Экология</w:t>
            </w:r>
            <w:r w:rsidRPr="00BD4DA1">
              <w:rPr>
                <w:color w:val="000000"/>
                <w:sz w:val="22"/>
                <w:lang w:eastAsia="ru-RU"/>
              </w:rPr>
              <w:t> </w:t>
            </w:r>
          </w:p>
        </w:tc>
      </w:tr>
      <w:tr w:rsidR="00B86A83" w:rsidRPr="00BD4DA1" w:rsidTr="00BD4DA1">
        <w:trPr>
          <w:trHeight w:val="48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Коэффициент качества воды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>
              <w:rPr>
                <w:color w:val="000000"/>
                <w:szCs w:val="24"/>
                <w:lang w:eastAsia="ru-RU"/>
              </w:rPr>
              <w:t>к</w:t>
            </w:r>
            <w:r w:rsidRPr="00BD4DA1">
              <w:rPr>
                <w:color w:val="000000"/>
                <w:szCs w:val="24"/>
                <w:lang w:eastAsia="ru-RU"/>
              </w:rPr>
              <w:t>оэффици</w:t>
            </w:r>
            <w:r>
              <w:rPr>
                <w:color w:val="000000"/>
                <w:szCs w:val="24"/>
                <w:lang w:eastAsia="ru-RU"/>
              </w:rPr>
              <w:t>-</w:t>
            </w:r>
            <w:r w:rsidRPr="00BD4DA1">
              <w:rPr>
                <w:color w:val="000000"/>
                <w:szCs w:val="24"/>
                <w:lang w:eastAsia="ru-RU"/>
              </w:rPr>
              <w:t>ент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0,3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1,02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340,0%</w:t>
            </w:r>
          </w:p>
        </w:tc>
      </w:tr>
      <w:tr w:rsidR="00B86A83" w:rsidRPr="00BD4DA1" w:rsidTr="00BD4DA1">
        <w:trPr>
          <w:trHeight w:val="48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Обеспеченность контейнерным сбором мусора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процент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79,0%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79,1%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100,1%</w:t>
            </w:r>
          </w:p>
        </w:tc>
      </w:tr>
      <w:tr w:rsidR="00B86A83" w:rsidRPr="00BD4DA1" w:rsidTr="00BD4DA1">
        <w:trPr>
          <w:trHeight w:val="48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Обеспеченность контейнерными площадками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процент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52,0%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52,2%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100,4%</w:t>
            </w:r>
          </w:p>
        </w:tc>
      </w:tr>
      <w:tr w:rsidR="00B86A83" w:rsidRPr="00BD4DA1" w:rsidTr="00C94EDC">
        <w:trPr>
          <w:trHeight w:val="315"/>
        </w:trPr>
        <w:tc>
          <w:tcPr>
            <w:tcW w:w="96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F5282A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Направление 5. Социальная сфера</w:t>
            </w:r>
            <w:r w:rsidRPr="00BD4DA1">
              <w:rPr>
                <w:color w:val="000000"/>
                <w:sz w:val="22"/>
                <w:lang w:eastAsia="ru-RU"/>
              </w:rPr>
              <w:t> </w:t>
            </w:r>
          </w:p>
        </w:tc>
      </w:tr>
      <w:tr w:rsidR="00B86A83" w:rsidRPr="00BD4DA1" w:rsidTr="00BD4DA1">
        <w:trPr>
          <w:trHeight w:val="94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Результаты независимой оценки качества условий оказания услуг муниципальными организациями в сферах образования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балл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85,3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88,6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103,9%</w:t>
            </w:r>
          </w:p>
        </w:tc>
      </w:tr>
      <w:tr w:rsidR="00B86A83" w:rsidRPr="00BD4DA1" w:rsidTr="00BD4DA1">
        <w:trPr>
          <w:trHeight w:val="63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Охват детей в возрасте от 1 года до 7 лет дошкольным образованием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процент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87,3%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88,9%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101,8%</w:t>
            </w:r>
          </w:p>
        </w:tc>
      </w:tr>
      <w:tr w:rsidR="00B86A83" w:rsidRPr="00BD4DA1" w:rsidTr="00BD4DA1">
        <w:trPr>
          <w:trHeight w:val="63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Охват детей в возрасте от 5 года до 18 лет программами дополнительного образования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процент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70,0%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74,1%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105,9%</w:t>
            </w:r>
          </w:p>
        </w:tc>
      </w:tr>
      <w:tr w:rsidR="00B86A83" w:rsidRPr="00BD4DA1" w:rsidTr="00BD4DA1">
        <w:trPr>
          <w:trHeight w:val="220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Удельный вес численности обучающихся, занимающихся в первую смену в общеобразовательных организациях, расположенных на территории городского округа в общей численности обучающихся в общеобразовательных организациях, расположенных на территории городского округа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процент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71,5%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65,7%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91,9%</w:t>
            </w:r>
          </w:p>
        </w:tc>
      </w:tr>
      <w:tr w:rsidR="00B86A83" w:rsidRPr="00BD4DA1" w:rsidTr="00BD4DA1">
        <w:trPr>
          <w:trHeight w:val="175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Доля муниципальных общеобразовательных организаций, в которых создана безбарьерная среда для получения детьми-инвалидами и детьми с ОВЗ качественного образования, в обще количестве муниципальных  общеобразовательных организаций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процент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26,1%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26,1%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100,0%</w:t>
            </w:r>
          </w:p>
        </w:tc>
      </w:tr>
      <w:tr w:rsidR="00B86A83" w:rsidRPr="00BD4DA1" w:rsidTr="00C40FAC">
        <w:trPr>
          <w:trHeight w:val="203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Доля зданий муниципальных общеобразовательных организаций, находящихся в аварийном  состоянии и  требующих капитального ремонта</w:t>
            </w:r>
            <w:r>
              <w:rPr>
                <w:color w:val="000000"/>
                <w:szCs w:val="24"/>
                <w:lang w:eastAsia="ru-RU"/>
              </w:rPr>
              <w:t>*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процент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616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8</w:t>
            </w:r>
            <w:r>
              <w:rPr>
                <w:color w:val="000000"/>
                <w:szCs w:val="24"/>
                <w:lang w:eastAsia="ru-RU"/>
              </w:rPr>
              <w:t>,</w:t>
            </w:r>
            <w:r w:rsidRPr="00BD4DA1">
              <w:rPr>
                <w:color w:val="000000"/>
                <w:szCs w:val="24"/>
                <w:lang w:eastAsia="ru-RU"/>
              </w:rPr>
              <w:t>7</w:t>
            </w:r>
            <w:r>
              <w:rPr>
                <w:color w:val="000000"/>
                <w:szCs w:val="24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34,8%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>
              <w:rPr>
                <w:color w:val="000000"/>
                <w:sz w:val="22"/>
                <w:lang w:eastAsia="ru-RU"/>
              </w:rPr>
              <w:t>25</w:t>
            </w:r>
            <w:r w:rsidRPr="00BD4DA1">
              <w:rPr>
                <w:color w:val="000000"/>
                <w:sz w:val="22"/>
                <w:lang w:eastAsia="ru-RU"/>
              </w:rPr>
              <w:t>,0%</w:t>
            </w:r>
          </w:p>
        </w:tc>
      </w:tr>
      <w:tr w:rsidR="00B86A83" w:rsidRPr="00BD4DA1" w:rsidTr="00BD4DA1">
        <w:trPr>
          <w:trHeight w:val="63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Ожидаемая продолжительность жизни при рождении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лет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77,1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72,2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93,6%</w:t>
            </w:r>
          </w:p>
        </w:tc>
      </w:tr>
      <w:tr w:rsidR="00B86A83" w:rsidRPr="00BD4DA1" w:rsidTr="00BD4DA1">
        <w:trPr>
          <w:trHeight w:val="63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 xml:space="preserve">Доля населения, охваченного профилактическими осмотрами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процент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>
              <w:rPr>
                <w:color w:val="000000"/>
                <w:szCs w:val="24"/>
                <w:lang w:eastAsia="ru-RU"/>
              </w:rPr>
              <w:t>30,0</w:t>
            </w:r>
            <w:r w:rsidRPr="00BD4DA1">
              <w:rPr>
                <w:color w:val="000000"/>
                <w:szCs w:val="24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28,7%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95,7%</w:t>
            </w:r>
          </w:p>
        </w:tc>
      </w:tr>
      <w:tr w:rsidR="00B86A83" w:rsidRPr="00BD4DA1" w:rsidTr="00C40FAC">
        <w:trPr>
          <w:trHeight w:val="48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Коэффициент смертности</w:t>
            </w:r>
            <w:r>
              <w:rPr>
                <w:color w:val="000000"/>
                <w:szCs w:val="24"/>
                <w:lang w:eastAsia="ru-RU"/>
              </w:rPr>
              <w:t>*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BD4DA1">
              <w:rPr>
                <w:color w:val="000000"/>
                <w:sz w:val="20"/>
                <w:szCs w:val="20"/>
                <w:lang w:eastAsia="ru-RU"/>
              </w:rPr>
              <w:t>чел. на 1000 населения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15,1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14,0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>
              <w:rPr>
                <w:color w:val="000000"/>
                <w:sz w:val="22"/>
                <w:lang w:eastAsia="ru-RU"/>
              </w:rPr>
              <w:t>107,9%</w:t>
            </w:r>
          </w:p>
        </w:tc>
      </w:tr>
      <w:tr w:rsidR="00B86A83" w:rsidRPr="00BD4DA1" w:rsidTr="00C40FAC">
        <w:trPr>
          <w:trHeight w:val="416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Коэффициент рождаемости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BD4DA1">
              <w:rPr>
                <w:color w:val="000000"/>
                <w:sz w:val="20"/>
                <w:szCs w:val="20"/>
                <w:lang w:eastAsia="ru-RU"/>
              </w:rPr>
              <w:t>чел. на 1000 населения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8,5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104,9%</w:t>
            </w:r>
          </w:p>
        </w:tc>
      </w:tr>
      <w:tr w:rsidR="00B86A83" w:rsidRPr="00BD4DA1" w:rsidTr="00C40FAC">
        <w:trPr>
          <w:trHeight w:val="508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Коэффициент младенческой смертности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BD4DA1">
              <w:rPr>
                <w:color w:val="000000"/>
                <w:sz w:val="20"/>
                <w:szCs w:val="20"/>
                <w:lang w:eastAsia="ru-RU"/>
              </w:rPr>
              <w:t>чел. на 1000 населения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3,1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-</w:t>
            </w:r>
          </w:p>
        </w:tc>
      </w:tr>
      <w:tr w:rsidR="00B86A83" w:rsidRPr="00BD4DA1" w:rsidTr="00BD4DA1">
        <w:trPr>
          <w:trHeight w:val="63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Доля населения, систематически занимающегося физической культурой и спортом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процент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48,0%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51,1%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106,5%</w:t>
            </w:r>
          </w:p>
        </w:tc>
      </w:tr>
      <w:tr w:rsidR="00B86A83" w:rsidRPr="00BD4DA1" w:rsidTr="00BD4DA1">
        <w:trPr>
          <w:trHeight w:val="94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Уровень обеспеченности граждан спортивными сооружениями исходя из единовременной пропускной способности объектов спорта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процент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54,2%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35,7%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65,9%</w:t>
            </w:r>
          </w:p>
        </w:tc>
      </w:tr>
      <w:tr w:rsidR="00B86A83" w:rsidRPr="00BD4DA1" w:rsidTr="00BD4DA1">
        <w:trPr>
          <w:trHeight w:val="94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Результаты независимой оценки качества условий оказания услуг муниципальными организациями в сферах культуры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балл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87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87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100,0%</w:t>
            </w:r>
          </w:p>
        </w:tc>
      </w:tr>
      <w:tr w:rsidR="00B86A83" w:rsidRPr="00BD4DA1" w:rsidTr="00BD4DA1">
        <w:trPr>
          <w:trHeight w:val="31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Охват населения услугами учреждений культуры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процент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38,0%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38</w:t>
            </w:r>
            <w:r>
              <w:rPr>
                <w:color w:val="000000"/>
                <w:szCs w:val="24"/>
                <w:lang w:eastAsia="ru-RU"/>
              </w:rPr>
              <w:t>,5</w:t>
            </w:r>
            <w:r w:rsidRPr="00BD4DA1">
              <w:rPr>
                <w:color w:val="000000"/>
                <w:szCs w:val="24"/>
                <w:lang w:eastAsia="ru-RU"/>
              </w:rPr>
              <w:t>%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101,3%</w:t>
            </w:r>
          </w:p>
        </w:tc>
      </w:tr>
      <w:tr w:rsidR="00B86A83" w:rsidRPr="00BD4DA1" w:rsidTr="00BD4DA1">
        <w:trPr>
          <w:trHeight w:val="157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Доля объектов культурного наследия, находящихся в муниципальной собственности и находящихся в удовлетворительном состоянии от общего количества объектов культурного наследия, находящихся в муниципальной собственности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процент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100,0%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100,0%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100,0%</w:t>
            </w:r>
          </w:p>
        </w:tc>
      </w:tr>
      <w:tr w:rsidR="00B86A83" w:rsidRPr="00BD4DA1" w:rsidTr="00BD4DA1">
        <w:trPr>
          <w:trHeight w:val="94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Доля зданий учреждений культуры, находящихся в аварийном  состоянии и  требующих капитального ремонта</w:t>
            </w:r>
            <w:r>
              <w:rPr>
                <w:color w:val="000000"/>
                <w:szCs w:val="24"/>
                <w:lang w:eastAsia="ru-RU"/>
              </w:rPr>
              <w:t>*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процент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16,7%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8,0%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>
              <w:rPr>
                <w:color w:val="000000"/>
                <w:sz w:val="22"/>
                <w:lang w:eastAsia="ru-RU"/>
              </w:rPr>
              <w:t>208,8</w:t>
            </w:r>
            <w:r w:rsidRPr="00BD4DA1">
              <w:rPr>
                <w:color w:val="000000"/>
                <w:sz w:val="22"/>
                <w:lang w:eastAsia="ru-RU"/>
              </w:rPr>
              <w:t>%</w:t>
            </w:r>
          </w:p>
        </w:tc>
      </w:tr>
      <w:tr w:rsidR="00B86A83" w:rsidRPr="00BD4DA1" w:rsidTr="00BD4DA1">
        <w:trPr>
          <w:trHeight w:val="94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Результаты независимой оценки качества условий оказания услуг муниципальными организациями в сфере социальной защиты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балл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81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94,32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116,4</w:t>
            </w:r>
            <w:bookmarkStart w:id="0" w:name="_GoBack"/>
            <w:bookmarkEnd w:id="0"/>
            <w:r w:rsidRPr="00BD4DA1">
              <w:rPr>
                <w:color w:val="000000"/>
                <w:sz w:val="22"/>
                <w:lang w:eastAsia="ru-RU"/>
              </w:rPr>
              <w:t>%</w:t>
            </w:r>
          </w:p>
        </w:tc>
      </w:tr>
      <w:tr w:rsidR="00B86A83" w:rsidRPr="00BD4DA1" w:rsidTr="00BD4DA1">
        <w:trPr>
          <w:trHeight w:val="94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Доля объема выплаченных сумм на меры социальной поддержки от объема начисленных сумм на меры социальной поддержки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процент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100,0%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100,0%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100,0%</w:t>
            </w:r>
          </w:p>
        </w:tc>
      </w:tr>
      <w:tr w:rsidR="00B86A83" w:rsidRPr="00BD4DA1" w:rsidTr="00C40FAC">
        <w:trPr>
          <w:trHeight w:val="487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Удельный вес семей, получающих субсидию на оплату жилого помещения и коммунальных услуг, в общем объеме обратившихся семей, имеющих право  на ее назначение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процент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100,0%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100,0%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100,0%</w:t>
            </w:r>
          </w:p>
        </w:tc>
      </w:tr>
      <w:tr w:rsidR="00B86A83" w:rsidRPr="00BD4DA1" w:rsidTr="00BD4DA1">
        <w:trPr>
          <w:trHeight w:val="126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Доля семей, имеющих детей, которым предоставляются меры социальной поддержки, в общем числе семей с детьми, имеющих право на меры социальной поддержки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процент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100,0%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100,0%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100,0%</w:t>
            </w:r>
          </w:p>
        </w:tc>
      </w:tr>
      <w:tr w:rsidR="00B86A83" w:rsidRPr="00BD4DA1" w:rsidTr="00BD4DA1">
        <w:trPr>
          <w:trHeight w:val="157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Доля граждан, получивших социальные услуги в учреждениях социального обслуживания населения, в общем числе граждан, обратившихся за получением социальных услуг в учреждения социальной защиты населения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процент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100,0%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100,0%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100,0%</w:t>
            </w:r>
          </w:p>
        </w:tc>
      </w:tr>
      <w:tr w:rsidR="00B86A83" w:rsidRPr="00BD4DA1" w:rsidTr="00BD4DA1">
        <w:trPr>
          <w:trHeight w:val="157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Доля граждан, получивших социальные услуги в учреждениях социального обслуживания населения, в общем числе граждан, обратившихся за получением социальных услуг в учреждения социальной защиты населения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процент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100,0%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100,0%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100,0%</w:t>
            </w:r>
          </w:p>
        </w:tc>
      </w:tr>
      <w:tr w:rsidR="00B86A83" w:rsidRPr="00BD4DA1" w:rsidTr="00F5282A">
        <w:trPr>
          <w:trHeight w:val="405"/>
        </w:trPr>
        <w:tc>
          <w:tcPr>
            <w:tcW w:w="96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F5282A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Направление 6. Муниципальное управление</w:t>
            </w:r>
            <w:r w:rsidRPr="00BD4DA1">
              <w:rPr>
                <w:color w:val="000000"/>
                <w:sz w:val="22"/>
                <w:lang w:eastAsia="ru-RU"/>
              </w:rPr>
              <w:t> </w:t>
            </w:r>
          </w:p>
        </w:tc>
      </w:tr>
      <w:tr w:rsidR="00B86A83" w:rsidRPr="00BD4DA1" w:rsidTr="00BD4DA1">
        <w:trPr>
          <w:trHeight w:val="63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Удовлетворенность деятельностью главы городского округа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процент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30,0%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24,4%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81,3%</w:t>
            </w:r>
          </w:p>
        </w:tc>
      </w:tr>
      <w:tr w:rsidR="00B86A83" w:rsidRPr="00BD4DA1" w:rsidTr="00BD4DA1">
        <w:trPr>
          <w:trHeight w:val="31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Доверие главе городского округа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процент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39,6%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38,3%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96,7%</w:t>
            </w:r>
          </w:p>
        </w:tc>
      </w:tr>
      <w:tr w:rsidR="00B86A83" w:rsidRPr="00BD4DA1" w:rsidTr="00BD4DA1">
        <w:trPr>
          <w:trHeight w:val="63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Удовлетворенность деятельностью администрации городского округа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процент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30,0%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22,8%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76,0%</w:t>
            </w:r>
          </w:p>
        </w:tc>
      </w:tr>
      <w:tr w:rsidR="00B86A83" w:rsidRPr="00BD4DA1" w:rsidTr="00BD4DA1">
        <w:trPr>
          <w:trHeight w:val="63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Удовлетворенность деятельностью Собрания депутатов городского округа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процент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25,0%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20,0%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80,0%</w:t>
            </w:r>
          </w:p>
        </w:tc>
      </w:tr>
      <w:tr w:rsidR="00B86A83" w:rsidRPr="00BD4DA1" w:rsidTr="00656A0D">
        <w:trPr>
          <w:trHeight w:val="480"/>
        </w:trPr>
        <w:tc>
          <w:tcPr>
            <w:tcW w:w="96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F5282A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 xml:space="preserve">Направление 7. Государственная, общественная и информационная безопасность </w:t>
            </w:r>
            <w:r w:rsidRPr="00BD4DA1">
              <w:rPr>
                <w:color w:val="000000"/>
                <w:sz w:val="22"/>
                <w:lang w:eastAsia="ru-RU"/>
              </w:rPr>
              <w:t> </w:t>
            </w:r>
          </w:p>
        </w:tc>
      </w:tr>
      <w:tr w:rsidR="00B86A83" w:rsidRPr="00BD4DA1" w:rsidTr="00BD4DA1">
        <w:trPr>
          <w:trHeight w:val="51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Число лиц, погибших в ДТП</w:t>
            </w:r>
            <w:r>
              <w:rPr>
                <w:color w:val="000000"/>
                <w:szCs w:val="24"/>
                <w:lang w:eastAsia="ru-RU"/>
              </w:rPr>
              <w:t>*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BD4DA1">
              <w:rPr>
                <w:color w:val="000000"/>
                <w:sz w:val="20"/>
                <w:szCs w:val="20"/>
                <w:lang w:eastAsia="ru-RU"/>
              </w:rPr>
              <w:t>чел. на                    10 000 населения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0,55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0,89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>
              <w:rPr>
                <w:color w:val="000000"/>
                <w:sz w:val="22"/>
                <w:lang w:eastAsia="ru-RU"/>
              </w:rPr>
              <w:t>61,8%</w:t>
            </w:r>
          </w:p>
        </w:tc>
      </w:tr>
      <w:tr w:rsidR="00B86A83" w:rsidRPr="00BD4DA1" w:rsidTr="00C40FAC">
        <w:trPr>
          <w:trHeight w:val="1383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Уровень преступности</w:t>
            </w:r>
            <w:r>
              <w:rPr>
                <w:color w:val="000000"/>
                <w:szCs w:val="24"/>
                <w:lang w:eastAsia="ru-RU"/>
              </w:rPr>
              <w:t>*</w:t>
            </w:r>
            <w:r w:rsidRPr="00BD4DA1">
              <w:rPr>
                <w:color w:val="000000"/>
                <w:szCs w:val="24"/>
                <w:lang w:eastAsia="ru-RU"/>
              </w:rPr>
              <w:t xml:space="preserve">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BD4DA1">
              <w:rPr>
                <w:color w:val="000000"/>
                <w:sz w:val="20"/>
                <w:szCs w:val="20"/>
                <w:lang w:eastAsia="ru-RU"/>
              </w:rPr>
              <w:t>кол-во зарегистрированных преступлений  на  10 000 населения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120,1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104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>
              <w:rPr>
                <w:color w:val="000000"/>
                <w:sz w:val="22"/>
                <w:lang w:eastAsia="ru-RU"/>
              </w:rPr>
              <w:t>115,4</w:t>
            </w:r>
          </w:p>
        </w:tc>
      </w:tr>
      <w:tr w:rsidR="00B86A83" w:rsidRPr="00BD4DA1" w:rsidTr="00BD4DA1">
        <w:trPr>
          <w:trHeight w:val="31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Число лиц, погибших на водных объектах</w:t>
            </w:r>
            <w:r>
              <w:rPr>
                <w:color w:val="000000"/>
                <w:szCs w:val="24"/>
                <w:lang w:eastAsia="ru-RU"/>
              </w:rPr>
              <w:t>*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чел.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D4DA1">
              <w:rPr>
                <w:color w:val="000000"/>
                <w:sz w:val="22"/>
                <w:lang w:eastAsia="ru-RU"/>
              </w:rPr>
              <w:t>100,0%</w:t>
            </w:r>
          </w:p>
        </w:tc>
      </w:tr>
      <w:tr w:rsidR="00B86A83" w:rsidRPr="00BD4DA1" w:rsidTr="00BD4DA1">
        <w:trPr>
          <w:trHeight w:val="31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Число лиц, погибших на пожарах</w:t>
            </w:r>
            <w:r>
              <w:rPr>
                <w:color w:val="000000"/>
                <w:szCs w:val="24"/>
                <w:lang w:eastAsia="ru-RU"/>
              </w:rPr>
              <w:t>*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чел.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Cs w:val="24"/>
                <w:lang w:eastAsia="ru-RU"/>
              </w:rPr>
            </w:pPr>
            <w:r w:rsidRPr="00BD4DA1">
              <w:rPr>
                <w:color w:val="000000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6A83" w:rsidRPr="00BD4DA1" w:rsidRDefault="00B86A83" w:rsidP="00BD4DA1">
            <w:pPr>
              <w:spacing w:line="240" w:lineRule="auto"/>
              <w:jc w:val="center"/>
              <w:rPr>
                <w:color w:val="000000"/>
                <w:sz w:val="22"/>
                <w:lang w:eastAsia="ru-RU"/>
              </w:rPr>
            </w:pPr>
            <w:r>
              <w:rPr>
                <w:color w:val="000000"/>
                <w:sz w:val="22"/>
                <w:lang w:eastAsia="ru-RU"/>
              </w:rPr>
              <w:t>60%</w:t>
            </w:r>
          </w:p>
        </w:tc>
      </w:tr>
    </w:tbl>
    <w:p w:rsidR="00B86A83" w:rsidRPr="00BD4DA1" w:rsidRDefault="00B86A83" w:rsidP="00BD4DA1">
      <w:pPr>
        <w:tabs>
          <w:tab w:val="left" w:pos="3140"/>
        </w:tabs>
        <w:spacing w:line="240" w:lineRule="auto"/>
        <w:rPr>
          <w:sz w:val="20"/>
          <w:szCs w:val="20"/>
        </w:rPr>
      </w:pPr>
      <w:r w:rsidRPr="00BD4DA1">
        <w:rPr>
          <w:sz w:val="20"/>
          <w:szCs w:val="20"/>
        </w:rPr>
        <w:t>* - обратная зависимость коэффициентов</w:t>
      </w:r>
    </w:p>
    <w:p w:rsidR="00B86A83" w:rsidRPr="00AC6B5F" w:rsidRDefault="00B86A83" w:rsidP="00094346">
      <w:pPr>
        <w:tabs>
          <w:tab w:val="left" w:pos="3140"/>
        </w:tabs>
        <w:spacing w:line="240" w:lineRule="auto"/>
        <w:ind w:left="284"/>
        <w:jc w:val="center"/>
        <w:rPr>
          <w:szCs w:val="24"/>
        </w:rPr>
      </w:pPr>
    </w:p>
    <w:p w:rsidR="00B86A83" w:rsidRDefault="00B86A83" w:rsidP="00E23E23">
      <w:pPr>
        <w:spacing w:line="240" w:lineRule="auto"/>
        <w:jc w:val="both"/>
        <w:rPr>
          <w:szCs w:val="24"/>
        </w:rPr>
      </w:pPr>
    </w:p>
    <w:p w:rsidR="00B86A83" w:rsidRDefault="00B86A83" w:rsidP="00E23E23">
      <w:pPr>
        <w:spacing w:line="240" w:lineRule="auto"/>
        <w:jc w:val="both"/>
        <w:rPr>
          <w:szCs w:val="24"/>
        </w:rPr>
      </w:pPr>
    </w:p>
    <w:p w:rsidR="00B86A83" w:rsidRPr="00AC6B5F" w:rsidRDefault="00B86A83" w:rsidP="00E23E23">
      <w:pPr>
        <w:spacing w:line="240" w:lineRule="auto"/>
        <w:jc w:val="both"/>
        <w:rPr>
          <w:szCs w:val="24"/>
        </w:rPr>
      </w:pPr>
      <w:r w:rsidRPr="00AC6B5F">
        <w:rPr>
          <w:szCs w:val="24"/>
        </w:rPr>
        <w:t>Заместитель Главы городского округа</w:t>
      </w:r>
    </w:p>
    <w:p w:rsidR="00B86A83" w:rsidRPr="00AC6B5F" w:rsidRDefault="00B86A83" w:rsidP="00C40FAC">
      <w:pPr>
        <w:spacing w:line="240" w:lineRule="auto"/>
        <w:jc w:val="both"/>
      </w:pPr>
      <w:r w:rsidRPr="00AC6B5F">
        <w:rPr>
          <w:szCs w:val="24"/>
        </w:rPr>
        <w:t>по финансам и экономике</w:t>
      </w:r>
      <w:r w:rsidRPr="00AC6B5F">
        <w:rPr>
          <w:szCs w:val="24"/>
        </w:rPr>
        <w:tab/>
      </w:r>
      <w:r w:rsidRPr="00AC6B5F">
        <w:rPr>
          <w:szCs w:val="24"/>
        </w:rPr>
        <w:tab/>
      </w:r>
      <w:r w:rsidRPr="00AC6B5F">
        <w:rPr>
          <w:szCs w:val="24"/>
        </w:rPr>
        <w:tab/>
      </w:r>
      <w:r w:rsidRPr="00AC6B5F">
        <w:rPr>
          <w:szCs w:val="24"/>
        </w:rPr>
        <w:tab/>
      </w:r>
      <w:r w:rsidRPr="00AC6B5F">
        <w:rPr>
          <w:szCs w:val="24"/>
        </w:rPr>
        <w:tab/>
      </w:r>
      <w:r w:rsidRPr="00AC6B5F">
        <w:rPr>
          <w:szCs w:val="24"/>
        </w:rPr>
        <w:tab/>
      </w:r>
      <w:r w:rsidRPr="00AC6B5F">
        <w:rPr>
          <w:szCs w:val="24"/>
        </w:rPr>
        <w:tab/>
      </w:r>
      <w:r w:rsidRPr="00AC6B5F">
        <w:rPr>
          <w:szCs w:val="24"/>
        </w:rPr>
        <w:tab/>
        <w:t xml:space="preserve">       О.М. Пескова</w:t>
      </w:r>
    </w:p>
    <w:sectPr w:rsidR="00B86A83" w:rsidRPr="00AC6B5F" w:rsidSect="00C40FAC">
      <w:headerReference w:type="default" r:id="rId8"/>
      <w:pgSz w:w="11906" w:h="16838" w:code="9"/>
      <w:pgMar w:top="993" w:right="566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86A83" w:rsidRDefault="00B86A83" w:rsidP="00E6610A">
      <w:pPr>
        <w:spacing w:line="240" w:lineRule="auto"/>
      </w:pPr>
      <w:r>
        <w:separator/>
      </w:r>
    </w:p>
  </w:endnote>
  <w:endnote w:type="continuationSeparator" w:id="0">
    <w:p w:rsidR="00B86A83" w:rsidRDefault="00B86A83" w:rsidP="00E6610A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86A83" w:rsidRDefault="00B86A83" w:rsidP="00E6610A">
      <w:pPr>
        <w:spacing w:line="240" w:lineRule="auto"/>
      </w:pPr>
      <w:r>
        <w:separator/>
      </w:r>
    </w:p>
  </w:footnote>
  <w:footnote w:type="continuationSeparator" w:id="0">
    <w:p w:rsidR="00B86A83" w:rsidRDefault="00B86A83" w:rsidP="00E6610A">
      <w:pPr>
        <w:spacing w:line="240" w:lineRule="auto"/>
      </w:pPr>
      <w:r>
        <w:continuationSeparator/>
      </w:r>
    </w:p>
  </w:footnote>
  <w:footnote w:id="1">
    <w:p w:rsidR="00B86A83" w:rsidRDefault="00B86A83">
      <w:pPr>
        <w:pStyle w:val="FootnoteText"/>
      </w:pPr>
      <w:r>
        <w:rPr>
          <w:rStyle w:val="FootnoteReference"/>
        </w:rPr>
        <w:footnoteRef/>
      </w:r>
      <w:r>
        <w:t xml:space="preserve"> п</w:t>
      </w:r>
      <w:r w:rsidRPr="00E70747">
        <w:t>остановлением администрации городского округа от 25.06.2019 № 1508-п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86A83" w:rsidRPr="00921AE5" w:rsidRDefault="00B86A83">
    <w:pPr>
      <w:pStyle w:val="Header"/>
      <w:jc w:val="center"/>
    </w:pPr>
    <w:fldSimple w:instr="PAGE   \* MERGEFORMAT">
      <w:r>
        <w:rPr>
          <w:noProof/>
        </w:rPr>
        <w:t>6</w:t>
      </w:r>
    </w:fldSimple>
  </w:p>
  <w:p w:rsidR="00B86A83" w:rsidRDefault="00B86A83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4F0875"/>
    <w:multiLevelType w:val="hybridMultilevel"/>
    <w:tmpl w:val="67883BB8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0BCF42AC"/>
    <w:multiLevelType w:val="hybridMultilevel"/>
    <w:tmpl w:val="56F44FE0"/>
    <w:lvl w:ilvl="0" w:tplc="7CDC7E3C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2">
    <w:nsid w:val="0C751012"/>
    <w:multiLevelType w:val="hybridMultilevel"/>
    <w:tmpl w:val="74288E2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F5F6730"/>
    <w:multiLevelType w:val="hybridMultilevel"/>
    <w:tmpl w:val="B8AE6CF6"/>
    <w:lvl w:ilvl="0" w:tplc="0419000D">
      <w:start w:val="1"/>
      <w:numFmt w:val="bullet"/>
      <w:lvlText w:val=""/>
      <w:lvlJc w:val="left"/>
      <w:pPr>
        <w:ind w:left="92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114B2A43"/>
    <w:multiLevelType w:val="hybridMultilevel"/>
    <w:tmpl w:val="1AD0FC32"/>
    <w:lvl w:ilvl="0" w:tplc="D5826240">
      <w:start w:val="1"/>
      <w:numFmt w:val="decimal"/>
      <w:lvlText w:val="%1)"/>
      <w:lvlJc w:val="left"/>
      <w:pPr>
        <w:ind w:left="720" w:hanging="360"/>
      </w:pPr>
      <w:rPr>
        <w:rFonts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142A542B"/>
    <w:multiLevelType w:val="hybridMultilevel"/>
    <w:tmpl w:val="6F740EE8"/>
    <w:lvl w:ilvl="0" w:tplc="AEA8FF7E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>
    <w:nsid w:val="16834F97"/>
    <w:multiLevelType w:val="hybridMultilevel"/>
    <w:tmpl w:val="DAAEF072"/>
    <w:lvl w:ilvl="0" w:tplc="026E9BC2"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7AE15A1"/>
    <w:multiLevelType w:val="hybridMultilevel"/>
    <w:tmpl w:val="49641252"/>
    <w:lvl w:ilvl="0" w:tplc="DFEE3D48">
      <w:start w:val="1"/>
      <w:numFmt w:val="upperRoman"/>
      <w:lvlText w:val="%1."/>
      <w:lvlJc w:val="left"/>
      <w:pPr>
        <w:ind w:left="1287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8">
    <w:nsid w:val="187878EF"/>
    <w:multiLevelType w:val="hybridMultilevel"/>
    <w:tmpl w:val="5928C7F6"/>
    <w:lvl w:ilvl="0" w:tplc="0344A318">
      <w:start w:val="1"/>
      <w:numFmt w:val="decimal"/>
      <w:lvlText w:val="%1)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9">
    <w:nsid w:val="1CDD7BD7"/>
    <w:multiLevelType w:val="hybridMultilevel"/>
    <w:tmpl w:val="4286A0DA"/>
    <w:lvl w:ilvl="0" w:tplc="71460362">
      <w:start w:val="1"/>
      <w:numFmt w:val="decimal"/>
      <w:lvlText w:val="%1)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0">
    <w:nsid w:val="22610935"/>
    <w:multiLevelType w:val="hybridMultilevel"/>
    <w:tmpl w:val="4D32CFCE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23A478BC"/>
    <w:multiLevelType w:val="hybridMultilevel"/>
    <w:tmpl w:val="1708F69C"/>
    <w:lvl w:ilvl="0" w:tplc="7D20BFE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26AC527A"/>
    <w:multiLevelType w:val="hybridMultilevel"/>
    <w:tmpl w:val="BCA23C9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2F3F3D09"/>
    <w:multiLevelType w:val="hybridMultilevel"/>
    <w:tmpl w:val="BB543FAE"/>
    <w:lvl w:ilvl="0" w:tplc="04190011">
      <w:start w:val="1"/>
      <w:numFmt w:val="decimal"/>
      <w:lvlText w:val="%1)"/>
      <w:lvlJc w:val="left"/>
      <w:pPr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325B050E"/>
    <w:multiLevelType w:val="hybridMultilevel"/>
    <w:tmpl w:val="BFCEB71A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33562B3C"/>
    <w:multiLevelType w:val="hybridMultilevel"/>
    <w:tmpl w:val="C8725ED4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337544E4"/>
    <w:multiLevelType w:val="hybridMultilevel"/>
    <w:tmpl w:val="47E6C9F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36EA6719"/>
    <w:multiLevelType w:val="hybridMultilevel"/>
    <w:tmpl w:val="51B61E56"/>
    <w:lvl w:ilvl="0" w:tplc="5608F670">
      <w:start w:val="97"/>
      <w:numFmt w:val="decimal"/>
      <w:lvlText w:val="%1"/>
      <w:lvlJc w:val="left"/>
      <w:pPr>
        <w:ind w:left="394" w:hanging="360"/>
      </w:pPr>
      <w:rPr>
        <w:rFonts w:cs="Times New Roman" w:hint="default"/>
      </w:rPr>
    </w:lvl>
    <w:lvl w:ilvl="1" w:tplc="D00035E2">
      <w:start w:val="1"/>
      <w:numFmt w:val="decimal"/>
      <w:lvlText w:val="%2)"/>
      <w:lvlJc w:val="left"/>
      <w:pPr>
        <w:ind w:left="1759" w:hanging="1005"/>
      </w:pPr>
      <w:rPr>
        <w:rFonts w:cs="Times New Roman" w:hint="default"/>
        <w:color w:val="auto"/>
      </w:r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5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1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  <w:rPr>
        <w:rFonts w:cs="Times New Roman"/>
      </w:rPr>
    </w:lvl>
  </w:abstractNum>
  <w:abstractNum w:abstractNumId="18">
    <w:nsid w:val="37737123"/>
    <w:multiLevelType w:val="hybridMultilevel"/>
    <w:tmpl w:val="1B18A89A"/>
    <w:lvl w:ilvl="0" w:tplc="A17EDF6E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33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5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7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9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1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3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5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72" w:hanging="180"/>
      </w:pPr>
      <w:rPr>
        <w:rFonts w:cs="Times New Roman"/>
      </w:rPr>
    </w:lvl>
  </w:abstractNum>
  <w:abstractNum w:abstractNumId="19">
    <w:nsid w:val="3A621200"/>
    <w:multiLevelType w:val="hybridMultilevel"/>
    <w:tmpl w:val="9D566B06"/>
    <w:lvl w:ilvl="0" w:tplc="04190011">
      <w:start w:val="1"/>
      <w:numFmt w:val="decimal"/>
      <w:lvlText w:val="%1)"/>
      <w:lvlJc w:val="left"/>
      <w:pPr>
        <w:ind w:left="92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20">
    <w:nsid w:val="3F670FAF"/>
    <w:multiLevelType w:val="hybridMultilevel"/>
    <w:tmpl w:val="856059D2"/>
    <w:lvl w:ilvl="0" w:tplc="AEA8FF7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9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7BC477E"/>
    <w:multiLevelType w:val="hybridMultilevel"/>
    <w:tmpl w:val="5A667700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2">
    <w:nsid w:val="47ED037D"/>
    <w:multiLevelType w:val="hybridMultilevel"/>
    <w:tmpl w:val="E350282A"/>
    <w:lvl w:ilvl="0" w:tplc="AEA8FF7E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3">
    <w:nsid w:val="4B605F6F"/>
    <w:multiLevelType w:val="hybridMultilevel"/>
    <w:tmpl w:val="621ADC34"/>
    <w:lvl w:ilvl="0" w:tplc="344A76B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4CCF6559"/>
    <w:multiLevelType w:val="hybridMultilevel"/>
    <w:tmpl w:val="A13E6418"/>
    <w:lvl w:ilvl="0" w:tplc="AEA8FF7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535E7706"/>
    <w:multiLevelType w:val="hybridMultilevel"/>
    <w:tmpl w:val="B8F652AC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>
    <w:nsid w:val="54A22559"/>
    <w:multiLevelType w:val="hybridMultilevel"/>
    <w:tmpl w:val="81145092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>
    <w:nsid w:val="578B3F59"/>
    <w:multiLevelType w:val="hybridMultilevel"/>
    <w:tmpl w:val="0CFA4F48"/>
    <w:lvl w:ilvl="0" w:tplc="0B7E24CC">
      <w:start w:val="1"/>
      <w:numFmt w:val="decimal"/>
      <w:lvlText w:val="%1)"/>
      <w:lvlJc w:val="left"/>
      <w:pPr>
        <w:ind w:left="1602" w:hanging="103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28">
    <w:nsid w:val="582F3A71"/>
    <w:multiLevelType w:val="hybridMultilevel"/>
    <w:tmpl w:val="046CFFDC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>
    <w:nsid w:val="62DF45ED"/>
    <w:multiLevelType w:val="hybridMultilevel"/>
    <w:tmpl w:val="6B006C64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645F6CAA"/>
    <w:multiLevelType w:val="hybridMultilevel"/>
    <w:tmpl w:val="434285E0"/>
    <w:lvl w:ilvl="0" w:tplc="698A5AF8">
      <w:start w:val="1"/>
      <w:numFmt w:val="decimal"/>
      <w:lvlText w:val="%1)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31">
    <w:nsid w:val="65FD6D85"/>
    <w:multiLevelType w:val="hybridMultilevel"/>
    <w:tmpl w:val="BEBCAE5C"/>
    <w:lvl w:ilvl="0" w:tplc="AEA8FF7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>
    <w:nsid w:val="66CB441E"/>
    <w:multiLevelType w:val="hybridMultilevel"/>
    <w:tmpl w:val="C844679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929229C"/>
    <w:multiLevelType w:val="hybridMultilevel"/>
    <w:tmpl w:val="DE6C93CE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4">
    <w:nsid w:val="73C34DB7"/>
    <w:multiLevelType w:val="hybridMultilevel"/>
    <w:tmpl w:val="A0AC6DB8"/>
    <w:lvl w:ilvl="0" w:tplc="A17EDF6E">
      <w:start w:val="1"/>
      <w:numFmt w:val="decimal"/>
      <w:lvlText w:val="%1."/>
      <w:lvlJc w:val="left"/>
      <w:pPr>
        <w:ind w:left="610" w:hanging="360"/>
      </w:pPr>
      <w:rPr>
        <w:rFonts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33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5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7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9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1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3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5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70" w:hanging="180"/>
      </w:pPr>
      <w:rPr>
        <w:rFonts w:cs="Times New Roman"/>
      </w:rPr>
    </w:lvl>
  </w:abstractNum>
  <w:abstractNum w:abstractNumId="35">
    <w:nsid w:val="75656420"/>
    <w:multiLevelType w:val="hybridMultilevel"/>
    <w:tmpl w:val="F31636DA"/>
    <w:lvl w:ilvl="0" w:tplc="D9C4BCD6">
      <w:start w:val="1"/>
      <w:numFmt w:val="decimal"/>
      <w:lvlText w:val="%1)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36">
    <w:nsid w:val="77195783"/>
    <w:multiLevelType w:val="hybridMultilevel"/>
    <w:tmpl w:val="1666AFE8"/>
    <w:lvl w:ilvl="0" w:tplc="F0D265B4">
      <w:start w:val="7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DF97E25"/>
    <w:multiLevelType w:val="hybridMultilevel"/>
    <w:tmpl w:val="B25273D8"/>
    <w:lvl w:ilvl="0" w:tplc="BFB28138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num w:numId="1">
    <w:abstractNumId w:val="7"/>
  </w:num>
  <w:num w:numId="2">
    <w:abstractNumId w:val="23"/>
  </w:num>
  <w:num w:numId="3">
    <w:abstractNumId w:val="12"/>
  </w:num>
  <w:num w:numId="4">
    <w:abstractNumId w:val="32"/>
  </w:num>
  <w:num w:numId="5">
    <w:abstractNumId w:val="13"/>
  </w:num>
  <w:num w:numId="6">
    <w:abstractNumId w:val="5"/>
  </w:num>
  <w:num w:numId="7">
    <w:abstractNumId w:val="35"/>
  </w:num>
  <w:num w:numId="8">
    <w:abstractNumId w:val="31"/>
  </w:num>
  <w:num w:numId="9">
    <w:abstractNumId w:val="30"/>
  </w:num>
  <w:num w:numId="10">
    <w:abstractNumId w:val="24"/>
  </w:num>
  <w:num w:numId="11">
    <w:abstractNumId w:val="20"/>
  </w:num>
  <w:num w:numId="12">
    <w:abstractNumId w:val="3"/>
  </w:num>
  <w:num w:numId="13">
    <w:abstractNumId w:val="22"/>
  </w:num>
  <w:num w:numId="14">
    <w:abstractNumId w:val="33"/>
  </w:num>
  <w:num w:numId="15">
    <w:abstractNumId w:val="27"/>
  </w:num>
  <w:num w:numId="16">
    <w:abstractNumId w:val="10"/>
  </w:num>
  <w:num w:numId="17">
    <w:abstractNumId w:val="21"/>
  </w:num>
  <w:num w:numId="18">
    <w:abstractNumId w:val="34"/>
  </w:num>
  <w:num w:numId="19">
    <w:abstractNumId w:val="18"/>
  </w:num>
  <w:num w:numId="20">
    <w:abstractNumId w:val="16"/>
  </w:num>
  <w:num w:numId="21">
    <w:abstractNumId w:val="0"/>
  </w:num>
  <w:num w:numId="22">
    <w:abstractNumId w:val="2"/>
  </w:num>
  <w:num w:numId="23">
    <w:abstractNumId w:val="15"/>
  </w:num>
  <w:num w:numId="24">
    <w:abstractNumId w:val="8"/>
  </w:num>
  <w:num w:numId="25">
    <w:abstractNumId w:val="14"/>
  </w:num>
  <w:num w:numId="26">
    <w:abstractNumId w:val="9"/>
  </w:num>
  <w:num w:numId="27">
    <w:abstractNumId w:val="19"/>
  </w:num>
  <w:num w:numId="28">
    <w:abstractNumId w:val="37"/>
  </w:num>
  <w:num w:numId="29">
    <w:abstractNumId w:val="25"/>
  </w:num>
  <w:num w:numId="30">
    <w:abstractNumId w:val="1"/>
  </w:num>
  <w:num w:numId="31">
    <w:abstractNumId w:val="4"/>
  </w:num>
  <w:num w:numId="32">
    <w:abstractNumId w:val="26"/>
  </w:num>
  <w:num w:numId="33">
    <w:abstractNumId w:val="11"/>
  </w:num>
  <w:num w:numId="34">
    <w:abstractNumId w:val="17"/>
  </w:num>
  <w:num w:numId="35">
    <w:abstractNumId w:val="28"/>
  </w:num>
  <w:num w:numId="36">
    <w:abstractNumId w:val="29"/>
  </w:num>
  <w:num w:numId="37">
    <w:abstractNumId w:val="36"/>
  </w:num>
  <w:num w:numId="3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D0B95"/>
    <w:rsid w:val="0000121D"/>
    <w:rsid w:val="000028DE"/>
    <w:rsid w:val="000033ED"/>
    <w:rsid w:val="00013874"/>
    <w:rsid w:val="000237A7"/>
    <w:rsid w:val="00030B88"/>
    <w:rsid w:val="000311A6"/>
    <w:rsid w:val="00031AF8"/>
    <w:rsid w:val="00035745"/>
    <w:rsid w:val="00042A49"/>
    <w:rsid w:val="00044A00"/>
    <w:rsid w:val="00052C9F"/>
    <w:rsid w:val="00052CEA"/>
    <w:rsid w:val="000557D6"/>
    <w:rsid w:val="00057DCC"/>
    <w:rsid w:val="00061768"/>
    <w:rsid w:val="00062E51"/>
    <w:rsid w:val="000643A9"/>
    <w:rsid w:val="00065C05"/>
    <w:rsid w:val="00066C25"/>
    <w:rsid w:val="00070692"/>
    <w:rsid w:val="00070CFB"/>
    <w:rsid w:val="000734D0"/>
    <w:rsid w:val="0007510D"/>
    <w:rsid w:val="00075C94"/>
    <w:rsid w:val="00077906"/>
    <w:rsid w:val="000805BF"/>
    <w:rsid w:val="000828E1"/>
    <w:rsid w:val="0008519F"/>
    <w:rsid w:val="000873B1"/>
    <w:rsid w:val="000919B9"/>
    <w:rsid w:val="00092E0A"/>
    <w:rsid w:val="00093802"/>
    <w:rsid w:val="00093D4B"/>
    <w:rsid w:val="00094346"/>
    <w:rsid w:val="000964FB"/>
    <w:rsid w:val="000969DE"/>
    <w:rsid w:val="000A1303"/>
    <w:rsid w:val="000A23AA"/>
    <w:rsid w:val="000A4E05"/>
    <w:rsid w:val="000B07AB"/>
    <w:rsid w:val="000B2BBF"/>
    <w:rsid w:val="000B3BCF"/>
    <w:rsid w:val="000C0225"/>
    <w:rsid w:val="000C1CB6"/>
    <w:rsid w:val="000C357E"/>
    <w:rsid w:val="000C5C9C"/>
    <w:rsid w:val="000C753D"/>
    <w:rsid w:val="000D01A8"/>
    <w:rsid w:val="000D0E8C"/>
    <w:rsid w:val="000D249E"/>
    <w:rsid w:val="000D278B"/>
    <w:rsid w:val="000D4E1D"/>
    <w:rsid w:val="000E46CC"/>
    <w:rsid w:val="000E483D"/>
    <w:rsid w:val="000E5678"/>
    <w:rsid w:val="000E6F7C"/>
    <w:rsid w:val="000E6FA5"/>
    <w:rsid w:val="000E72C0"/>
    <w:rsid w:val="000F1736"/>
    <w:rsid w:val="000F3409"/>
    <w:rsid w:val="000F70D8"/>
    <w:rsid w:val="00102E01"/>
    <w:rsid w:val="00103D0C"/>
    <w:rsid w:val="00104977"/>
    <w:rsid w:val="0010785F"/>
    <w:rsid w:val="00111AFD"/>
    <w:rsid w:val="0011521B"/>
    <w:rsid w:val="0012105C"/>
    <w:rsid w:val="001236BC"/>
    <w:rsid w:val="0012533D"/>
    <w:rsid w:val="00131AA3"/>
    <w:rsid w:val="00132E02"/>
    <w:rsid w:val="00133E4D"/>
    <w:rsid w:val="00134C1C"/>
    <w:rsid w:val="00140983"/>
    <w:rsid w:val="001451B5"/>
    <w:rsid w:val="00146E47"/>
    <w:rsid w:val="001520C6"/>
    <w:rsid w:val="00152211"/>
    <w:rsid w:val="001522FE"/>
    <w:rsid w:val="00153B43"/>
    <w:rsid w:val="00154848"/>
    <w:rsid w:val="00154EEF"/>
    <w:rsid w:val="0016019E"/>
    <w:rsid w:val="0016056F"/>
    <w:rsid w:val="00167458"/>
    <w:rsid w:val="0017380C"/>
    <w:rsid w:val="00174C8E"/>
    <w:rsid w:val="00175E44"/>
    <w:rsid w:val="0018026E"/>
    <w:rsid w:val="001861C7"/>
    <w:rsid w:val="00190A15"/>
    <w:rsid w:val="00195120"/>
    <w:rsid w:val="001958E4"/>
    <w:rsid w:val="00197B47"/>
    <w:rsid w:val="001B7B22"/>
    <w:rsid w:val="001C10D0"/>
    <w:rsid w:val="001C3480"/>
    <w:rsid w:val="001C6005"/>
    <w:rsid w:val="001D2206"/>
    <w:rsid w:val="001D22E5"/>
    <w:rsid w:val="001D25AC"/>
    <w:rsid w:val="001D3DA5"/>
    <w:rsid w:val="001D567F"/>
    <w:rsid w:val="001D5EC4"/>
    <w:rsid w:val="001E3180"/>
    <w:rsid w:val="001F1496"/>
    <w:rsid w:val="001F1538"/>
    <w:rsid w:val="001F4BBD"/>
    <w:rsid w:val="001F4FCA"/>
    <w:rsid w:val="001F5AE3"/>
    <w:rsid w:val="002046F4"/>
    <w:rsid w:val="00205969"/>
    <w:rsid w:val="0020644C"/>
    <w:rsid w:val="0020686A"/>
    <w:rsid w:val="00206DBE"/>
    <w:rsid w:val="00210430"/>
    <w:rsid w:val="00210C8E"/>
    <w:rsid w:val="002119A9"/>
    <w:rsid w:val="00211B05"/>
    <w:rsid w:val="00212288"/>
    <w:rsid w:val="002135DD"/>
    <w:rsid w:val="00214F1D"/>
    <w:rsid w:val="00217173"/>
    <w:rsid w:val="002230BF"/>
    <w:rsid w:val="00226761"/>
    <w:rsid w:val="002273A8"/>
    <w:rsid w:val="00231286"/>
    <w:rsid w:val="00233091"/>
    <w:rsid w:val="002330BD"/>
    <w:rsid w:val="002344CC"/>
    <w:rsid w:val="002344CF"/>
    <w:rsid w:val="0023584A"/>
    <w:rsid w:val="00235B51"/>
    <w:rsid w:val="00243597"/>
    <w:rsid w:val="00243C99"/>
    <w:rsid w:val="00246338"/>
    <w:rsid w:val="002477F4"/>
    <w:rsid w:val="002505A2"/>
    <w:rsid w:val="00250710"/>
    <w:rsid w:val="002524E7"/>
    <w:rsid w:val="00265C1A"/>
    <w:rsid w:val="0026722E"/>
    <w:rsid w:val="00271A74"/>
    <w:rsid w:val="0027218F"/>
    <w:rsid w:val="00274BB6"/>
    <w:rsid w:val="00275D43"/>
    <w:rsid w:val="002767A8"/>
    <w:rsid w:val="002770A4"/>
    <w:rsid w:val="00281A20"/>
    <w:rsid w:val="00282B17"/>
    <w:rsid w:val="00283D3E"/>
    <w:rsid w:val="0028585E"/>
    <w:rsid w:val="0028624A"/>
    <w:rsid w:val="0029304B"/>
    <w:rsid w:val="00295F92"/>
    <w:rsid w:val="00296AC1"/>
    <w:rsid w:val="002A1413"/>
    <w:rsid w:val="002A3D1B"/>
    <w:rsid w:val="002B0403"/>
    <w:rsid w:val="002B23C1"/>
    <w:rsid w:val="002B2596"/>
    <w:rsid w:val="002B7CF4"/>
    <w:rsid w:val="002C1306"/>
    <w:rsid w:val="002C1909"/>
    <w:rsid w:val="002C2773"/>
    <w:rsid w:val="002D2B3C"/>
    <w:rsid w:val="002D308D"/>
    <w:rsid w:val="002D4574"/>
    <w:rsid w:val="002D50D3"/>
    <w:rsid w:val="002D5277"/>
    <w:rsid w:val="002D6528"/>
    <w:rsid w:val="002D69C5"/>
    <w:rsid w:val="002D6BBA"/>
    <w:rsid w:val="002E000F"/>
    <w:rsid w:val="002E0B94"/>
    <w:rsid w:val="002E1D41"/>
    <w:rsid w:val="002E276C"/>
    <w:rsid w:val="002E6605"/>
    <w:rsid w:val="002E78CC"/>
    <w:rsid w:val="002F3B53"/>
    <w:rsid w:val="002F4A19"/>
    <w:rsid w:val="002F6D68"/>
    <w:rsid w:val="003031D7"/>
    <w:rsid w:val="00304492"/>
    <w:rsid w:val="00307601"/>
    <w:rsid w:val="003121C5"/>
    <w:rsid w:val="003154CC"/>
    <w:rsid w:val="003256F1"/>
    <w:rsid w:val="0033354D"/>
    <w:rsid w:val="00335ED9"/>
    <w:rsid w:val="003367DE"/>
    <w:rsid w:val="00336AB9"/>
    <w:rsid w:val="0033777D"/>
    <w:rsid w:val="0034196C"/>
    <w:rsid w:val="00343ADE"/>
    <w:rsid w:val="00345F43"/>
    <w:rsid w:val="003552A1"/>
    <w:rsid w:val="0035783A"/>
    <w:rsid w:val="0036033D"/>
    <w:rsid w:val="00361CF5"/>
    <w:rsid w:val="0036657B"/>
    <w:rsid w:val="00371EFB"/>
    <w:rsid w:val="00372DF2"/>
    <w:rsid w:val="00373799"/>
    <w:rsid w:val="00377CF1"/>
    <w:rsid w:val="003802A4"/>
    <w:rsid w:val="00380C33"/>
    <w:rsid w:val="0038111E"/>
    <w:rsid w:val="00383766"/>
    <w:rsid w:val="00385B42"/>
    <w:rsid w:val="003871A5"/>
    <w:rsid w:val="00387AC9"/>
    <w:rsid w:val="00397683"/>
    <w:rsid w:val="003978F4"/>
    <w:rsid w:val="003A01CE"/>
    <w:rsid w:val="003A0EA3"/>
    <w:rsid w:val="003A100B"/>
    <w:rsid w:val="003A3B46"/>
    <w:rsid w:val="003A3DD8"/>
    <w:rsid w:val="003A7E41"/>
    <w:rsid w:val="003B1214"/>
    <w:rsid w:val="003B2998"/>
    <w:rsid w:val="003B366E"/>
    <w:rsid w:val="003B573A"/>
    <w:rsid w:val="003B57EB"/>
    <w:rsid w:val="003B6D8D"/>
    <w:rsid w:val="003B77FB"/>
    <w:rsid w:val="003C67B4"/>
    <w:rsid w:val="003D433B"/>
    <w:rsid w:val="003D43F2"/>
    <w:rsid w:val="003D4B7C"/>
    <w:rsid w:val="003D782E"/>
    <w:rsid w:val="003E06C3"/>
    <w:rsid w:val="003E14E8"/>
    <w:rsid w:val="003E36AD"/>
    <w:rsid w:val="003E58E8"/>
    <w:rsid w:val="003F14AE"/>
    <w:rsid w:val="003F2F84"/>
    <w:rsid w:val="003F4BFA"/>
    <w:rsid w:val="003F583D"/>
    <w:rsid w:val="00400A24"/>
    <w:rsid w:val="00401641"/>
    <w:rsid w:val="00405D40"/>
    <w:rsid w:val="00406C76"/>
    <w:rsid w:val="00406F03"/>
    <w:rsid w:val="00411EDE"/>
    <w:rsid w:val="0041265F"/>
    <w:rsid w:val="0041290A"/>
    <w:rsid w:val="00416CE5"/>
    <w:rsid w:val="004264AD"/>
    <w:rsid w:val="00427B0C"/>
    <w:rsid w:val="00430438"/>
    <w:rsid w:val="004314E3"/>
    <w:rsid w:val="00434274"/>
    <w:rsid w:val="00436560"/>
    <w:rsid w:val="0043681B"/>
    <w:rsid w:val="004452C4"/>
    <w:rsid w:val="004474CA"/>
    <w:rsid w:val="00450014"/>
    <w:rsid w:val="00450785"/>
    <w:rsid w:val="00450A43"/>
    <w:rsid w:val="00452E57"/>
    <w:rsid w:val="004531B6"/>
    <w:rsid w:val="00453EFB"/>
    <w:rsid w:val="0045542C"/>
    <w:rsid w:val="00455F1D"/>
    <w:rsid w:val="00456789"/>
    <w:rsid w:val="00461D16"/>
    <w:rsid w:val="00462BA1"/>
    <w:rsid w:val="004673CB"/>
    <w:rsid w:val="00467C11"/>
    <w:rsid w:val="00471B29"/>
    <w:rsid w:val="00471FDB"/>
    <w:rsid w:val="00473E28"/>
    <w:rsid w:val="00474761"/>
    <w:rsid w:val="00476302"/>
    <w:rsid w:val="0047716E"/>
    <w:rsid w:val="004842D2"/>
    <w:rsid w:val="004864CE"/>
    <w:rsid w:val="00486766"/>
    <w:rsid w:val="00490FC0"/>
    <w:rsid w:val="004945A2"/>
    <w:rsid w:val="00495E85"/>
    <w:rsid w:val="0049755E"/>
    <w:rsid w:val="004A07CC"/>
    <w:rsid w:val="004A0F6D"/>
    <w:rsid w:val="004A651B"/>
    <w:rsid w:val="004A7EA1"/>
    <w:rsid w:val="004B0FEE"/>
    <w:rsid w:val="004B1872"/>
    <w:rsid w:val="004B5ED1"/>
    <w:rsid w:val="004B62F3"/>
    <w:rsid w:val="004C1D34"/>
    <w:rsid w:val="004D09C0"/>
    <w:rsid w:val="004D09F4"/>
    <w:rsid w:val="004E63E7"/>
    <w:rsid w:val="004F221A"/>
    <w:rsid w:val="004F403A"/>
    <w:rsid w:val="004F4857"/>
    <w:rsid w:val="004F6605"/>
    <w:rsid w:val="004F73EC"/>
    <w:rsid w:val="00503460"/>
    <w:rsid w:val="00504040"/>
    <w:rsid w:val="005064C1"/>
    <w:rsid w:val="00513A0E"/>
    <w:rsid w:val="00517EF3"/>
    <w:rsid w:val="00524224"/>
    <w:rsid w:val="0052433D"/>
    <w:rsid w:val="005308A2"/>
    <w:rsid w:val="00530BC4"/>
    <w:rsid w:val="00531798"/>
    <w:rsid w:val="005318AE"/>
    <w:rsid w:val="00532826"/>
    <w:rsid w:val="00540990"/>
    <w:rsid w:val="00544150"/>
    <w:rsid w:val="00544B55"/>
    <w:rsid w:val="00544C41"/>
    <w:rsid w:val="00544E19"/>
    <w:rsid w:val="00550769"/>
    <w:rsid w:val="00562810"/>
    <w:rsid w:val="005709C7"/>
    <w:rsid w:val="00571B38"/>
    <w:rsid w:val="00574632"/>
    <w:rsid w:val="00575BC3"/>
    <w:rsid w:val="00580762"/>
    <w:rsid w:val="005818E0"/>
    <w:rsid w:val="00581993"/>
    <w:rsid w:val="005825BF"/>
    <w:rsid w:val="00584FC7"/>
    <w:rsid w:val="00590C82"/>
    <w:rsid w:val="00592EC5"/>
    <w:rsid w:val="005A028C"/>
    <w:rsid w:val="005A11DC"/>
    <w:rsid w:val="005A6ADA"/>
    <w:rsid w:val="005B016E"/>
    <w:rsid w:val="005B02F5"/>
    <w:rsid w:val="005B3EF2"/>
    <w:rsid w:val="005B4BCA"/>
    <w:rsid w:val="005B780D"/>
    <w:rsid w:val="005B7B56"/>
    <w:rsid w:val="005C00F2"/>
    <w:rsid w:val="005C3F62"/>
    <w:rsid w:val="005C4880"/>
    <w:rsid w:val="005C5B64"/>
    <w:rsid w:val="005C5C85"/>
    <w:rsid w:val="005C716F"/>
    <w:rsid w:val="005D09AB"/>
    <w:rsid w:val="005D10A2"/>
    <w:rsid w:val="005D1C52"/>
    <w:rsid w:val="005D50D5"/>
    <w:rsid w:val="005E123D"/>
    <w:rsid w:val="005E1F46"/>
    <w:rsid w:val="005E285C"/>
    <w:rsid w:val="005E5026"/>
    <w:rsid w:val="005E5072"/>
    <w:rsid w:val="00604F3C"/>
    <w:rsid w:val="00605805"/>
    <w:rsid w:val="00606470"/>
    <w:rsid w:val="00611370"/>
    <w:rsid w:val="00614A57"/>
    <w:rsid w:val="00622C05"/>
    <w:rsid w:val="006238A4"/>
    <w:rsid w:val="00630F22"/>
    <w:rsid w:val="00633A84"/>
    <w:rsid w:val="00634E28"/>
    <w:rsid w:val="00635087"/>
    <w:rsid w:val="0063514F"/>
    <w:rsid w:val="00651465"/>
    <w:rsid w:val="0065322B"/>
    <w:rsid w:val="006534AC"/>
    <w:rsid w:val="00656A0D"/>
    <w:rsid w:val="00660BD3"/>
    <w:rsid w:val="00662D16"/>
    <w:rsid w:val="00662E2A"/>
    <w:rsid w:val="00667332"/>
    <w:rsid w:val="00670732"/>
    <w:rsid w:val="0067264E"/>
    <w:rsid w:val="00676386"/>
    <w:rsid w:val="00676686"/>
    <w:rsid w:val="00683BE3"/>
    <w:rsid w:val="00686299"/>
    <w:rsid w:val="006873F6"/>
    <w:rsid w:val="0068755E"/>
    <w:rsid w:val="00691F30"/>
    <w:rsid w:val="00692DC2"/>
    <w:rsid w:val="00695A1F"/>
    <w:rsid w:val="00695B5C"/>
    <w:rsid w:val="006A0FB2"/>
    <w:rsid w:val="006A479A"/>
    <w:rsid w:val="006A5DE2"/>
    <w:rsid w:val="006B0288"/>
    <w:rsid w:val="006B0695"/>
    <w:rsid w:val="006B09B6"/>
    <w:rsid w:val="006B2C86"/>
    <w:rsid w:val="006B6398"/>
    <w:rsid w:val="006C5A76"/>
    <w:rsid w:val="006C6AE0"/>
    <w:rsid w:val="006D0B95"/>
    <w:rsid w:val="006D0D33"/>
    <w:rsid w:val="006D1D6A"/>
    <w:rsid w:val="006D4F08"/>
    <w:rsid w:val="006D6BAB"/>
    <w:rsid w:val="006E04C1"/>
    <w:rsid w:val="006E24F0"/>
    <w:rsid w:val="006E5651"/>
    <w:rsid w:val="006F0415"/>
    <w:rsid w:val="006F734E"/>
    <w:rsid w:val="00704376"/>
    <w:rsid w:val="007126A4"/>
    <w:rsid w:val="007131BC"/>
    <w:rsid w:val="007138A6"/>
    <w:rsid w:val="0071668C"/>
    <w:rsid w:val="00716C3F"/>
    <w:rsid w:val="0072683E"/>
    <w:rsid w:val="0072733C"/>
    <w:rsid w:val="00727BB5"/>
    <w:rsid w:val="007342A9"/>
    <w:rsid w:val="00745ADC"/>
    <w:rsid w:val="00753ACB"/>
    <w:rsid w:val="00755B5B"/>
    <w:rsid w:val="00755D53"/>
    <w:rsid w:val="00755F46"/>
    <w:rsid w:val="00756740"/>
    <w:rsid w:val="00757A74"/>
    <w:rsid w:val="007652B6"/>
    <w:rsid w:val="007657EC"/>
    <w:rsid w:val="00766127"/>
    <w:rsid w:val="007703F3"/>
    <w:rsid w:val="00771896"/>
    <w:rsid w:val="00772AF6"/>
    <w:rsid w:val="00773572"/>
    <w:rsid w:val="007754FA"/>
    <w:rsid w:val="00781610"/>
    <w:rsid w:val="00782312"/>
    <w:rsid w:val="00786203"/>
    <w:rsid w:val="00786ACA"/>
    <w:rsid w:val="0079038C"/>
    <w:rsid w:val="00793BA8"/>
    <w:rsid w:val="007943B2"/>
    <w:rsid w:val="00795FAB"/>
    <w:rsid w:val="00796332"/>
    <w:rsid w:val="007A1552"/>
    <w:rsid w:val="007A34B4"/>
    <w:rsid w:val="007A5CA3"/>
    <w:rsid w:val="007A6D24"/>
    <w:rsid w:val="007A757F"/>
    <w:rsid w:val="007B0518"/>
    <w:rsid w:val="007B0DC5"/>
    <w:rsid w:val="007B29E4"/>
    <w:rsid w:val="007B648E"/>
    <w:rsid w:val="007B6748"/>
    <w:rsid w:val="007C24D3"/>
    <w:rsid w:val="007C3FAF"/>
    <w:rsid w:val="007C4B1E"/>
    <w:rsid w:val="007C7890"/>
    <w:rsid w:val="007D08E8"/>
    <w:rsid w:val="007D1C83"/>
    <w:rsid w:val="007D2DDB"/>
    <w:rsid w:val="007E6792"/>
    <w:rsid w:val="007E6EB1"/>
    <w:rsid w:val="007E7351"/>
    <w:rsid w:val="007F2910"/>
    <w:rsid w:val="007F4039"/>
    <w:rsid w:val="007F4204"/>
    <w:rsid w:val="007F5CBB"/>
    <w:rsid w:val="007F7617"/>
    <w:rsid w:val="00801067"/>
    <w:rsid w:val="008045E8"/>
    <w:rsid w:val="00805E0D"/>
    <w:rsid w:val="0081307C"/>
    <w:rsid w:val="00814ABC"/>
    <w:rsid w:val="0081508D"/>
    <w:rsid w:val="00815AC9"/>
    <w:rsid w:val="00817739"/>
    <w:rsid w:val="00820ACF"/>
    <w:rsid w:val="00825AC3"/>
    <w:rsid w:val="00827795"/>
    <w:rsid w:val="00827E6E"/>
    <w:rsid w:val="008316B8"/>
    <w:rsid w:val="0084757B"/>
    <w:rsid w:val="008475E2"/>
    <w:rsid w:val="00854D1C"/>
    <w:rsid w:val="008578AE"/>
    <w:rsid w:val="008610DA"/>
    <w:rsid w:val="00861E4F"/>
    <w:rsid w:val="00867224"/>
    <w:rsid w:val="00867774"/>
    <w:rsid w:val="008816C9"/>
    <w:rsid w:val="008827C3"/>
    <w:rsid w:val="0088371B"/>
    <w:rsid w:val="008849AB"/>
    <w:rsid w:val="00892A66"/>
    <w:rsid w:val="00893CC7"/>
    <w:rsid w:val="008961DE"/>
    <w:rsid w:val="008A0EC0"/>
    <w:rsid w:val="008A38A1"/>
    <w:rsid w:val="008A6576"/>
    <w:rsid w:val="008B49C3"/>
    <w:rsid w:val="008B49EA"/>
    <w:rsid w:val="008B54DA"/>
    <w:rsid w:val="008B5CB5"/>
    <w:rsid w:val="008B616C"/>
    <w:rsid w:val="008B6E30"/>
    <w:rsid w:val="008C08CB"/>
    <w:rsid w:val="008C0F09"/>
    <w:rsid w:val="008C1D30"/>
    <w:rsid w:val="008C5BDB"/>
    <w:rsid w:val="008C7AE4"/>
    <w:rsid w:val="008D27CA"/>
    <w:rsid w:val="008D4A05"/>
    <w:rsid w:val="008D4EF8"/>
    <w:rsid w:val="008D5B8B"/>
    <w:rsid w:val="008D6BCD"/>
    <w:rsid w:val="008E0647"/>
    <w:rsid w:val="008E0D42"/>
    <w:rsid w:val="008E3B73"/>
    <w:rsid w:val="008E4780"/>
    <w:rsid w:val="008E6E81"/>
    <w:rsid w:val="008F0739"/>
    <w:rsid w:val="008F1650"/>
    <w:rsid w:val="008F185B"/>
    <w:rsid w:val="008F66F8"/>
    <w:rsid w:val="00901365"/>
    <w:rsid w:val="00903CC6"/>
    <w:rsid w:val="00904310"/>
    <w:rsid w:val="00905CD5"/>
    <w:rsid w:val="00912D9A"/>
    <w:rsid w:val="00913FF8"/>
    <w:rsid w:val="00915F98"/>
    <w:rsid w:val="00920EE4"/>
    <w:rsid w:val="00921AE5"/>
    <w:rsid w:val="00922B27"/>
    <w:rsid w:val="00926BE3"/>
    <w:rsid w:val="00930E93"/>
    <w:rsid w:val="00934960"/>
    <w:rsid w:val="009358E6"/>
    <w:rsid w:val="00940BAA"/>
    <w:rsid w:val="00952A88"/>
    <w:rsid w:val="00955E67"/>
    <w:rsid w:val="00957518"/>
    <w:rsid w:val="00964F39"/>
    <w:rsid w:val="00965222"/>
    <w:rsid w:val="00965481"/>
    <w:rsid w:val="009673C6"/>
    <w:rsid w:val="0097027B"/>
    <w:rsid w:val="00973620"/>
    <w:rsid w:val="0097528F"/>
    <w:rsid w:val="00977E0D"/>
    <w:rsid w:val="00984044"/>
    <w:rsid w:val="00985D96"/>
    <w:rsid w:val="009921BC"/>
    <w:rsid w:val="00992DA4"/>
    <w:rsid w:val="00993A17"/>
    <w:rsid w:val="00993CB6"/>
    <w:rsid w:val="00995094"/>
    <w:rsid w:val="009959B0"/>
    <w:rsid w:val="00996703"/>
    <w:rsid w:val="00997426"/>
    <w:rsid w:val="009A0455"/>
    <w:rsid w:val="009A2E0D"/>
    <w:rsid w:val="009A5593"/>
    <w:rsid w:val="009B0B80"/>
    <w:rsid w:val="009B2318"/>
    <w:rsid w:val="009B65E2"/>
    <w:rsid w:val="009C326D"/>
    <w:rsid w:val="009C453D"/>
    <w:rsid w:val="009C5AE2"/>
    <w:rsid w:val="009D49F0"/>
    <w:rsid w:val="009E0070"/>
    <w:rsid w:val="009E1258"/>
    <w:rsid w:val="009E281D"/>
    <w:rsid w:val="009E4531"/>
    <w:rsid w:val="009E4692"/>
    <w:rsid w:val="009E4706"/>
    <w:rsid w:val="009E5053"/>
    <w:rsid w:val="009F4B55"/>
    <w:rsid w:val="009F7D10"/>
    <w:rsid w:val="00A07202"/>
    <w:rsid w:val="00A113D6"/>
    <w:rsid w:val="00A11BFF"/>
    <w:rsid w:val="00A13022"/>
    <w:rsid w:val="00A130DC"/>
    <w:rsid w:val="00A13D7A"/>
    <w:rsid w:val="00A22524"/>
    <w:rsid w:val="00A22B6F"/>
    <w:rsid w:val="00A249B5"/>
    <w:rsid w:val="00A24D14"/>
    <w:rsid w:val="00A25939"/>
    <w:rsid w:val="00A26057"/>
    <w:rsid w:val="00A27694"/>
    <w:rsid w:val="00A35C97"/>
    <w:rsid w:val="00A35F7F"/>
    <w:rsid w:val="00A36E4D"/>
    <w:rsid w:val="00A37AB2"/>
    <w:rsid w:val="00A41FBE"/>
    <w:rsid w:val="00A43575"/>
    <w:rsid w:val="00A45062"/>
    <w:rsid w:val="00A45BBC"/>
    <w:rsid w:val="00A5048F"/>
    <w:rsid w:val="00A517D0"/>
    <w:rsid w:val="00A56ED2"/>
    <w:rsid w:val="00A61B34"/>
    <w:rsid w:val="00A62446"/>
    <w:rsid w:val="00A62CA2"/>
    <w:rsid w:val="00A74413"/>
    <w:rsid w:val="00A74529"/>
    <w:rsid w:val="00A764A1"/>
    <w:rsid w:val="00A81C66"/>
    <w:rsid w:val="00A823D0"/>
    <w:rsid w:val="00A826BD"/>
    <w:rsid w:val="00A828D3"/>
    <w:rsid w:val="00A8698C"/>
    <w:rsid w:val="00A87610"/>
    <w:rsid w:val="00A93580"/>
    <w:rsid w:val="00A94B2D"/>
    <w:rsid w:val="00A95F01"/>
    <w:rsid w:val="00AA1922"/>
    <w:rsid w:val="00AA4B0B"/>
    <w:rsid w:val="00AA63CD"/>
    <w:rsid w:val="00AA7098"/>
    <w:rsid w:val="00AB2D6D"/>
    <w:rsid w:val="00AB338E"/>
    <w:rsid w:val="00AB3B50"/>
    <w:rsid w:val="00AB3CA3"/>
    <w:rsid w:val="00AB50EC"/>
    <w:rsid w:val="00AB58D1"/>
    <w:rsid w:val="00AC23F9"/>
    <w:rsid w:val="00AC2A4F"/>
    <w:rsid w:val="00AC4CC5"/>
    <w:rsid w:val="00AC6B5F"/>
    <w:rsid w:val="00AD158B"/>
    <w:rsid w:val="00AD1C13"/>
    <w:rsid w:val="00AD4B45"/>
    <w:rsid w:val="00AE0BE9"/>
    <w:rsid w:val="00AE0EEC"/>
    <w:rsid w:val="00AE2551"/>
    <w:rsid w:val="00AF0825"/>
    <w:rsid w:val="00AF3893"/>
    <w:rsid w:val="00B008F1"/>
    <w:rsid w:val="00B0118F"/>
    <w:rsid w:val="00B043F8"/>
    <w:rsid w:val="00B06737"/>
    <w:rsid w:val="00B06DBC"/>
    <w:rsid w:val="00B118B9"/>
    <w:rsid w:val="00B149ED"/>
    <w:rsid w:val="00B207E2"/>
    <w:rsid w:val="00B22207"/>
    <w:rsid w:val="00B22226"/>
    <w:rsid w:val="00B25150"/>
    <w:rsid w:val="00B32916"/>
    <w:rsid w:val="00B36AE4"/>
    <w:rsid w:val="00B40960"/>
    <w:rsid w:val="00B433D7"/>
    <w:rsid w:val="00B4651B"/>
    <w:rsid w:val="00B46ABF"/>
    <w:rsid w:val="00B5193E"/>
    <w:rsid w:val="00B55596"/>
    <w:rsid w:val="00B56E21"/>
    <w:rsid w:val="00B62732"/>
    <w:rsid w:val="00B63DA7"/>
    <w:rsid w:val="00B67BC5"/>
    <w:rsid w:val="00B71B6D"/>
    <w:rsid w:val="00B76B4E"/>
    <w:rsid w:val="00B773EF"/>
    <w:rsid w:val="00B82F47"/>
    <w:rsid w:val="00B83504"/>
    <w:rsid w:val="00B848DC"/>
    <w:rsid w:val="00B86714"/>
    <w:rsid w:val="00B86867"/>
    <w:rsid w:val="00B86A83"/>
    <w:rsid w:val="00B9136C"/>
    <w:rsid w:val="00B915D5"/>
    <w:rsid w:val="00B92163"/>
    <w:rsid w:val="00B93DAE"/>
    <w:rsid w:val="00B969DA"/>
    <w:rsid w:val="00BA16C4"/>
    <w:rsid w:val="00BA1969"/>
    <w:rsid w:val="00BA22F6"/>
    <w:rsid w:val="00BA3323"/>
    <w:rsid w:val="00BB0465"/>
    <w:rsid w:val="00BB230E"/>
    <w:rsid w:val="00BB2DF8"/>
    <w:rsid w:val="00BC064D"/>
    <w:rsid w:val="00BC2489"/>
    <w:rsid w:val="00BC707C"/>
    <w:rsid w:val="00BC7CC2"/>
    <w:rsid w:val="00BD0687"/>
    <w:rsid w:val="00BD179B"/>
    <w:rsid w:val="00BD260A"/>
    <w:rsid w:val="00BD42FE"/>
    <w:rsid w:val="00BD4DA1"/>
    <w:rsid w:val="00BD5125"/>
    <w:rsid w:val="00BD5B36"/>
    <w:rsid w:val="00BD6161"/>
    <w:rsid w:val="00BE2004"/>
    <w:rsid w:val="00BE2D34"/>
    <w:rsid w:val="00BE5F8F"/>
    <w:rsid w:val="00BF285A"/>
    <w:rsid w:val="00BF4BC8"/>
    <w:rsid w:val="00BF5F37"/>
    <w:rsid w:val="00C00340"/>
    <w:rsid w:val="00C01C60"/>
    <w:rsid w:val="00C024DA"/>
    <w:rsid w:val="00C0561F"/>
    <w:rsid w:val="00C10664"/>
    <w:rsid w:val="00C11265"/>
    <w:rsid w:val="00C11DA2"/>
    <w:rsid w:val="00C120A3"/>
    <w:rsid w:val="00C14A6E"/>
    <w:rsid w:val="00C219FD"/>
    <w:rsid w:val="00C229ED"/>
    <w:rsid w:val="00C22E37"/>
    <w:rsid w:val="00C23D36"/>
    <w:rsid w:val="00C2479C"/>
    <w:rsid w:val="00C26374"/>
    <w:rsid w:val="00C2750A"/>
    <w:rsid w:val="00C3079F"/>
    <w:rsid w:val="00C32E47"/>
    <w:rsid w:val="00C349CF"/>
    <w:rsid w:val="00C34A56"/>
    <w:rsid w:val="00C40FAC"/>
    <w:rsid w:val="00C44949"/>
    <w:rsid w:val="00C454BE"/>
    <w:rsid w:val="00C45B09"/>
    <w:rsid w:val="00C477D2"/>
    <w:rsid w:val="00C50ADA"/>
    <w:rsid w:val="00C51033"/>
    <w:rsid w:val="00C564B0"/>
    <w:rsid w:val="00C564C6"/>
    <w:rsid w:val="00C5750E"/>
    <w:rsid w:val="00C62423"/>
    <w:rsid w:val="00C6434C"/>
    <w:rsid w:val="00C64BEB"/>
    <w:rsid w:val="00C6646B"/>
    <w:rsid w:val="00C7296E"/>
    <w:rsid w:val="00C87FA6"/>
    <w:rsid w:val="00C91C36"/>
    <w:rsid w:val="00C92A9E"/>
    <w:rsid w:val="00C94ECB"/>
    <w:rsid w:val="00C94EDC"/>
    <w:rsid w:val="00C96A5E"/>
    <w:rsid w:val="00CA37C3"/>
    <w:rsid w:val="00CA6C10"/>
    <w:rsid w:val="00CA75A0"/>
    <w:rsid w:val="00CB06B7"/>
    <w:rsid w:val="00CB1003"/>
    <w:rsid w:val="00CB283C"/>
    <w:rsid w:val="00CB434C"/>
    <w:rsid w:val="00CB503C"/>
    <w:rsid w:val="00CB63F8"/>
    <w:rsid w:val="00CB66EA"/>
    <w:rsid w:val="00CC0BC9"/>
    <w:rsid w:val="00CC14EF"/>
    <w:rsid w:val="00CC2812"/>
    <w:rsid w:val="00CC4FB5"/>
    <w:rsid w:val="00CC653A"/>
    <w:rsid w:val="00CD00C5"/>
    <w:rsid w:val="00CD4186"/>
    <w:rsid w:val="00CD5DB8"/>
    <w:rsid w:val="00CD65D1"/>
    <w:rsid w:val="00CE13A3"/>
    <w:rsid w:val="00CE1734"/>
    <w:rsid w:val="00CE36AD"/>
    <w:rsid w:val="00CE3D8B"/>
    <w:rsid w:val="00CF2A2E"/>
    <w:rsid w:val="00CF530F"/>
    <w:rsid w:val="00CF7CA0"/>
    <w:rsid w:val="00D02488"/>
    <w:rsid w:val="00D02B70"/>
    <w:rsid w:val="00D05737"/>
    <w:rsid w:val="00D063F7"/>
    <w:rsid w:val="00D13E51"/>
    <w:rsid w:val="00D23507"/>
    <w:rsid w:val="00D25909"/>
    <w:rsid w:val="00D31BFB"/>
    <w:rsid w:val="00D32DDD"/>
    <w:rsid w:val="00D3531A"/>
    <w:rsid w:val="00D3597D"/>
    <w:rsid w:val="00D408E5"/>
    <w:rsid w:val="00D41274"/>
    <w:rsid w:val="00D45304"/>
    <w:rsid w:val="00D500D3"/>
    <w:rsid w:val="00D50522"/>
    <w:rsid w:val="00D55A70"/>
    <w:rsid w:val="00D61C74"/>
    <w:rsid w:val="00D721A5"/>
    <w:rsid w:val="00D77583"/>
    <w:rsid w:val="00D84240"/>
    <w:rsid w:val="00D84486"/>
    <w:rsid w:val="00D8546B"/>
    <w:rsid w:val="00D860EA"/>
    <w:rsid w:val="00D87377"/>
    <w:rsid w:val="00D92618"/>
    <w:rsid w:val="00D94E0D"/>
    <w:rsid w:val="00D97A42"/>
    <w:rsid w:val="00DA68BC"/>
    <w:rsid w:val="00DA6B38"/>
    <w:rsid w:val="00DB06EF"/>
    <w:rsid w:val="00DB0D2D"/>
    <w:rsid w:val="00DB38EE"/>
    <w:rsid w:val="00DC0CB5"/>
    <w:rsid w:val="00DC5291"/>
    <w:rsid w:val="00DC5568"/>
    <w:rsid w:val="00DC664B"/>
    <w:rsid w:val="00DD160A"/>
    <w:rsid w:val="00DD2310"/>
    <w:rsid w:val="00DD3AF7"/>
    <w:rsid w:val="00DD3E5C"/>
    <w:rsid w:val="00DD6BCF"/>
    <w:rsid w:val="00DD72FF"/>
    <w:rsid w:val="00DE05F9"/>
    <w:rsid w:val="00DE0ECF"/>
    <w:rsid w:val="00DE15DF"/>
    <w:rsid w:val="00DE22F0"/>
    <w:rsid w:val="00DE32FF"/>
    <w:rsid w:val="00DE5AE4"/>
    <w:rsid w:val="00DE5B23"/>
    <w:rsid w:val="00DF09DF"/>
    <w:rsid w:val="00DF140D"/>
    <w:rsid w:val="00DF2DE0"/>
    <w:rsid w:val="00E00A4A"/>
    <w:rsid w:val="00E00E67"/>
    <w:rsid w:val="00E10E05"/>
    <w:rsid w:val="00E125A0"/>
    <w:rsid w:val="00E16521"/>
    <w:rsid w:val="00E16D7D"/>
    <w:rsid w:val="00E21F61"/>
    <w:rsid w:val="00E23E23"/>
    <w:rsid w:val="00E249AA"/>
    <w:rsid w:val="00E24D7C"/>
    <w:rsid w:val="00E2668B"/>
    <w:rsid w:val="00E2711B"/>
    <w:rsid w:val="00E323C1"/>
    <w:rsid w:val="00E32EA0"/>
    <w:rsid w:val="00E342C3"/>
    <w:rsid w:val="00E34AE6"/>
    <w:rsid w:val="00E34CA2"/>
    <w:rsid w:val="00E3513C"/>
    <w:rsid w:val="00E36F50"/>
    <w:rsid w:val="00E37EE6"/>
    <w:rsid w:val="00E418EA"/>
    <w:rsid w:val="00E42E1B"/>
    <w:rsid w:val="00E4555B"/>
    <w:rsid w:val="00E469BB"/>
    <w:rsid w:val="00E53E28"/>
    <w:rsid w:val="00E602FF"/>
    <w:rsid w:val="00E60C12"/>
    <w:rsid w:val="00E6126C"/>
    <w:rsid w:val="00E61E6F"/>
    <w:rsid w:val="00E65537"/>
    <w:rsid w:val="00E6610A"/>
    <w:rsid w:val="00E675C1"/>
    <w:rsid w:val="00E70747"/>
    <w:rsid w:val="00E71CFF"/>
    <w:rsid w:val="00E73013"/>
    <w:rsid w:val="00E7310B"/>
    <w:rsid w:val="00E76A4E"/>
    <w:rsid w:val="00E80A4C"/>
    <w:rsid w:val="00E8153C"/>
    <w:rsid w:val="00E869D7"/>
    <w:rsid w:val="00E87352"/>
    <w:rsid w:val="00E90454"/>
    <w:rsid w:val="00E91061"/>
    <w:rsid w:val="00E913E6"/>
    <w:rsid w:val="00E92383"/>
    <w:rsid w:val="00E93FEC"/>
    <w:rsid w:val="00E946FF"/>
    <w:rsid w:val="00E973DC"/>
    <w:rsid w:val="00EA1D98"/>
    <w:rsid w:val="00EA6730"/>
    <w:rsid w:val="00EA69ED"/>
    <w:rsid w:val="00EA6F8E"/>
    <w:rsid w:val="00EB372B"/>
    <w:rsid w:val="00EB4DB9"/>
    <w:rsid w:val="00EB6387"/>
    <w:rsid w:val="00EB66F1"/>
    <w:rsid w:val="00EC04C9"/>
    <w:rsid w:val="00EC4F55"/>
    <w:rsid w:val="00EC6BC5"/>
    <w:rsid w:val="00EC70C8"/>
    <w:rsid w:val="00EC7525"/>
    <w:rsid w:val="00ED2DC1"/>
    <w:rsid w:val="00ED2F1F"/>
    <w:rsid w:val="00ED368F"/>
    <w:rsid w:val="00ED6165"/>
    <w:rsid w:val="00ED7F1A"/>
    <w:rsid w:val="00EE0C78"/>
    <w:rsid w:val="00EE3917"/>
    <w:rsid w:val="00EE70DA"/>
    <w:rsid w:val="00EE778A"/>
    <w:rsid w:val="00EE782B"/>
    <w:rsid w:val="00EF0913"/>
    <w:rsid w:val="00EF3494"/>
    <w:rsid w:val="00EF737F"/>
    <w:rsid w:val="00EF7FBE"/>
    <w:rsid w:val="00F0458B"/>
    <w:rsid w:val="00F05D40"/>
    <w:rsid w:val="00F069C5"/>
    <w:rsid w:val="00F12F26"/>
    <w:rsid w:val="00F145E6"/>
    <w:rsid w:val="00F202F6"/>
    <w:rsid w:val="00F2058F"/>
    <w:rsid w:val="00F2164A"/>
    <w:rsid w:val="00F219C0"/>
    <w:rsid w:val="00F22894"/>
    <w:rsid w:val="00F265C3"/>
    <w:rsid w:val="00F270A0"/>
    <w:rsid w:val="00F355B2"/>
    <w:rsid w:val="00F36DE4"/>
    <w:rsid w:val="00F40FC7"/>
    <w:rsid w:val="00F425B2"/>
    <w:rsid w:val="00F44654"/>
    <w:rsid w:val="00F446DE"/>
    <w:rsid w:val="00F470B4"/>
    <w:rsid w:val="00F516DA"/>
    <w:rsid w:val="00F5282A"/>
    <w:rsid w:val="00F52B39"/>
    <w:rsid w:val="00F54E2B"/>
    <w:rsid w:val="00F55E76"/>
    <w:rsid w:val="00F56C66"/>
    <w:rsid w:val="00F5792B"/>
    <w:rsid w:val="00F60E8D"/>
    <w:rsid w:val="00F612A7"/>
    <w:rsid w:val="00F626F2"/>
    <w:rsid w:val="00F62B49"/>
    <w:rsid w:val="00F64C99"/>
    <w:rsid w:val="00F74E85"/>
    <w:rsid w:val="00F81E45"/>
    <w:rsid w:val="00F95B65"/>
    <w:rsid w:val="00FA0548"/>
    <w:rsid w:val="00FA3C86"/>
    <w:rsid w:val="00FA475C"/>
    <w:rsid w:val="00FA711E"/>
    <w:rsid w:val="00FB0470"/>
    <w:rsid w:val="00FB4D2A"/>
    <w:rsid w:val="00FB5892"/>
    <w:rsid w:val="00FB59EA"/>
    <w:rsid w:val="00FB6525"/>
    <w:rsid w:val="00FB6989"/>
    <w:rsid w:val="00FB6FE6"/>
    <w:rsid w:val="00FC0F59"/>
    <w:rsid w:val="00FC147E"/>
    <w:rsid w:val="00FC74DD"/>
    <w:rsid w:val="00FD0A17"/>
    <w:rsid w:val="00FD19B1"/>
    <w:rsid w:val="00FD6E33"/>
    <w:rsid w:val="00FF1A85"/>
    <w:rsid w:val="00FF2B93"/>
    <w:rsid w:val="00FF55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Normal">
    <w:name w:val="Normal"/>
    <w:qFormat/>
    <w:rsid w:val="00993A17"/>
    <w:pPr>
      <w:spacing w:line="276" w:lineRule="auto"/>
    </w:pPr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70692"/>
    <w:pPr>
      <w:keepNext/>
      <w:keepLines/>
      <w:outlineLvl w:val="0"/>
    </w:pPr>
    <w:rPr>
      <w:rFonts w:eastAsia="Times New Roman"/>
      <w:b/>
      <w:bCs/>
      <w:color w:val="000000"/>
      <w:sz w:val="28"/>
      <w:szCs w:val="28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70692"/>
    <w:rPr>
      <w:rFonts w:eastAsia="Times New Roman"/>
      <w:b/>
      <w:color w:val="000000"/>
      <w:sz w:val="28"/>
    </w:rPr>
  </w:style>
  <w:style w:type="paragraph" w:styleId="ListParagraph">
    <w:name w:val="List Paragraph"/>
    <w:basedOn w:val="Normal"/>
    <w:uiPriority w:val="99"/>
    <w:qFormat/>
    <w:rsid w:val="006D0B9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rsid w:val="00416CE5"/>
    <w:pPr>
      <w:spacing w:line="240" w:lineRule="auto"/>
    </w:pPr>
    <w:rPr>
      <w:rFonts w:ascii="Tahoma" w:hAnsi="Tahoma"/>
      <w:sz w:val="16"/>
      <w:szCs w:val="16"/>
      <w:lang w:eastAsia="ru-RU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16CE5"/>
    <w:rPr>
      <w:rFonts w:ascii="Tahoma" w:hAnsi="Tahoma"/>
      <w:sz w:val="16"/>
    </w:rPr>
  </w:style>
  <w:style w:type="paragraph" w:styleId="Header">
    <w:name w:val="header"/>
    <w:basedOn w:val="Normal"/>
    <w:link w:val="HeaderChar"/>
    <w:uiPriority w:val="99"/>
    <w:rsid w:val="00E6610A"/>
    <w:pPr>
      <w:tabs>
        <w:tab w:val="center" w:pos="4677"/>
        <w:tab w:val="right" w:pos="9355"/>
      </w:tabs>
      <w:spacing w:line="240" w:lineRule="auto"/>
    </w:pPr>
    <w:rPr>
      <w:sz w:val="20"/>
      <w:szCs w:val="20"/>
      <w:lang w:eastAsia="ru-RU"/>
    </w:rPr>
  </w:style>
  <w:style w:type="character" w:customStyle="1" w:styleId="HeaderChar">
    <w:name w:val="Header Char"/>
    <w:basedOn w:val="DefaultParagraphFont"/>
    <w:link w:val="Header"/>
    <w:uiPriority w:val="99"/>
    <w:locked/>
    <w:rsid w:val="00E6610A"/>
  </w:style>
  <w:style w:type="paragraph" w:styleId="Footer">
    <w:name w:val="footer"/>
    <w:basedOn w:val="Normal"/>
    <w:link w:val="FooterChar"/>
    <w:uiPriority w:val="99"/>
    <w:rsid w:val="00E6610A"/>
    <w:pPr>
      <w:tabs>
        <w:tab w:val="center" w:pos="4677"/>
        <w:tab w:val="right" w:pos="9355"/>
      </w:tabs>
      <w:spacing w:line="240" w:lineRule="auto"/>
    </w:pPr>
    <w:rPr>
      <w:sz w:val="20"/>
      <w:szCs w:val="20"/>
      <w:lang w:eastAsia="ru-RU"/>
    </w:rPr>
  </w:style>
  <w:style w:type="character" w:customStyle="1" w:styleId="FooterChar">
    <w:name w:val="Footer Char"/>
    <w:basedOn w:val="DefaultParagraphFont"/>
    <w:link w:val="Footer"/>
    <w:uiPriority w:val="99"/>
    <w:locked/>
    <w:rsid w:val="00E6610A"/>
  </w:style>
  <w:style w:type="table" w:styleId="TableGrid">
    <w:name w:val="Table Grid"/>
    <w:basedOn w:val="TableNormal"/>
    <w:uiPriority w:val="99"/>
    <w:rsid w:val="00E418EA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Strong">
    <w:name w:val="Strong"/>
    <w:basedOn w:val="DefaultParagraphFont"/>
    <w:uiPriority w:val="99"/>
    <w:qFormat/>
    <w:rsid w:val="00070692"/>
    <w:rPr>
      <w:rFonts w:cs="Times New Roman"/>
      <w:b/>
    </w:rPr>
  </w:style>
  <w:style w:type="paragraph" w:styleId="TOCHeading">
    <w:name w:val="TOC Heading"/>
    <w:basedOn w:val="Heading1"/>
    <w:next w:val="Normal"/>
    <w:uiPriority w:val="99"/>
    <w:qFormat/>
    <w:rsid w:val="004B0FEE"/>
    <w:pPr>
      <w:spacing w:before="480"/>
      <w:outlineLvl w:val="9"/>
    </w:pPr>
    <w:rPr>
      <w:rFonts w:ascii="Cambria" w:hAnsi="Cambria"/>
      <w:color w:val="365F91"/>
    </w:rPr>
  </w:style>
  <w:style w:type="paragraph" w:styleId="TOC1">
    <w:name w:val="toc 1"/>
    <w:basedOn w:val="Normal"/>
    <w:next w:val="Normal"/>
    <w:autoRedefine/>
    <w:uiPriority w:val="99"/>
    <w:rsid w:val="004B0FEE"/>
    <w:pPr>
      <w:spacing w:after="100"/>
    </w:pPr>
  </w:style>
  <w:style w:type="character" w:styleId="Hyperlink">
    <w:name w:val="Hyperlink"/>
    <w:basedOn w:val="DefaultParagraphFont"/>
    <w:uiPriority w:val="99"/>
    <w:rsid w:val="004B0FEE"/>
    <w:rPr>
      <w:rFonts w:cs="Times New Roman"/>
      <w:color w:val="0000FF"/>
      <w:u w:val="single"/>
    </w:rPr>
  </w:style>
  <w:style w:type="paragraph" w:customStyle="1" w:styleId="1">
    <w:name w:val="Знак Знак1 Знак Знак Знак Знак Знак Знак"/>
    <w:basedOn w:val="Normal"/>
    <w:uiPriority w:val="99"/>
    <w:rsid w:val="00A87610"/>
    <w:pPr>
      <w:spacing w:after="160" w:line="240" w:lineRule="exact"/>
    </w:pPr>
    <w:rPr>
      <w:rFonts w:ascii="Verdana" w:eastAsia="Times New Roman" w:hAnsi="Verdana"/>
      <w:szCs w:val="24"/>
      <w:lang w:val="en-US"/>
    </w:rPr>
  </w:style>
  <w:style w:type="paragraph" w:styleId="TOC2">
    <w:name w:val="toc 2"/>
    <w:basedOn w:val="Normal"/>
    <w:next w:val="Normal"/>
    <w:autoRedefine/>
    <w:uiPriority w:val="99"/>
    <w:rsid w:val="002B7CF4"/>
    <w:pPr>
      <w:spacing w:after="100"/>
      <w:ind w:left="240"/>
    </w:pPr>
  </w:style>
  <w:style w:type="paragraph" w:styleId="FootnoteText">
    <w:name w:val="footnote text"/>
    <w:basedOn w:val="Normal"/>
    <w:link w:val="FootnoteTextChar"/>
    <w:uiPriority w:val="99"/>
    <w:semiHidden/>
    <w:rsid w:val="00E23E23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E23E23"/>
    <w:rPr>
      <w:sz w:val="20"/>
      <w:lang w:eastAsia="en-US"/>
    </w:rPr>
  </w:style>
  <w:style w:type="character" w:styleId="FootnoteReference">
    <w:name w:val="footnote reference"/>
    <w:basedOn w:val="DefaultParagraphFont"/>
    <w:uiPriority w:val="99"/>
    <w:semiHidden/>
    <w:rsid w:val="00E23E23"/>
    <w:rPr>
      <w:rFonts w:cs="Times New Roman"/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84982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82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82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82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akgo74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2836</TotalTime>
  <Pages>6</Pages>
  <Words>1476</Words>
  <Characters>8416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Яковлева Дина Александровна</dc:creator>
  <cp:keywords/>
  <dc:description/>
  <cp:lastModifiedBy>Admin</cp:lastModifiedBy>
  <cp:revision>155</cp:revision>
  <cp:lastPrinted>2023-06-20T08:29:00Z</cp:lastPrinted>
  <dcterms:created xsi:type="dcterms:W3CDTF">2015-04-06T10:08:00Z</dcterms:created>
  <dcterms:modified xsi:type="dcterms:W3CDTF">2023-06-30T06:25:00Z</dcterms:modified>
</cp:coreProperties>
</file>